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Allgemeine Geschäftsbedingungen (AGB) – RoboTec AG</w:t>
      </w:r>
    </w:p>
    <w:p>
      <w:r>
        <w:t>1. Geltung der Bedingungen</w:t>
        <w:br/>
        <w:t>Diese AGB gelten für alle Lieferungen und Leistungen der RoboTec AG.</w:t>
        <w:br/>
        <w:br/>
        <w:t>2. Angebot und Vertragsabschluss</w:t>
        <w:br/>
        <w:t>Angebote sind freibleibend. Verträge kommen erst durch schriftliche Auftragsbestätigung zustande.</w:t>
        <w:br/>
        <w:br/>
        <w:t>3. Preise und Zahlungsbedingungen</w:t>
        <w:br/>
        <w:t>Preise verstehen sich netto ab Werk, exkl. MWST. Zahlbar innert 30 Tagen netto.</w:t>
        <w:br/>
        <w:br/>
        <w:t>4. Lieferung und Gefahrenübergang</w:t>
        <w:br/>
        <w:t>Lieferung erfolgt EXW Werk Winterthur gemäss Incoterms® 2020. Gefahr geht bei Bereitstellung der Ware auf den Käufer über.</w:t>
        <w:br/>
        <w:br/>
        <w:t>5. Gewährleistung</w:t>
        <w:br/>
        <w:t>Die Gewährleistung beträgt 12 Monate. Bei Mängeln erfolgt nach Wahl von RoboTec AG Nachbesserung oder Ersatzlieferung.</w:t>
        <w:br/>
        <w:br/>
        <w:t>6. Haftungsbeschränkung</w:t>
        <w:br/>
        <w:t>RoboTec AG haftet nur für Schäden infolge vorsätzlicher oder grobfahrlässiger Pflichtverletzungen.</w:t>
        <w:br/>
        <w:br/>
        <w:t>7. Gerichtsstand</w:t>
        <w:br/>
        <w:t>Gerichtsstand für alle Streitigkeiten ist Winterthur, Schweiz.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