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RoboTec AG</w:t>
      </w:r>
    </w:p>
    <w:p>
      <w:r>
        <w:t>RoboTec AG</w:t>
        <w:br/>
        <w:t>Industriestrasse 20</w:t>
        <w:br/>
        <w:t>8400 Winterthur</w:t>
        <w:br/>
        <w:br/>
        <w:t>Rechnung Nr.: RT-2025-045</w:t>
        <w:br/>
        <w:t>Datum: 20.05.2025</w:t>
        <w:br/>
        <w:br/>
        <w:t>An:</w:t>
        <w:br/>
        <w:t>TechnoMotion GmbH</w:t>
        <w:br/>
        <w:t>Uetlibergstrasse 99</w:t>
        <w:br/>
        <w:t>8045 Zürich</w:t>
        <w:br/>
        <w:br/>
        <w:t>Position:</w:t>
        <w:br/>
        <w:t>1x Roboterarm XTR-2000 inkl. Steuerungsmodul – CHF 32'000.–</w:t>
        <w:br/>
        <w:br/>
        <w:t>Zahlungsziel: 30 Tage netto.</w:t>
        <w:br/>
        <w:br/>
        <w:t>Vielen Dank für Ihren Auftrag!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