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1 – RoboTec AG</w:t>
      </w:r>
    </w:p>
    <w:p>
      <w:r>
        <w:t>Von: service@robotec.ch</w:t>
        <w:br/>
        <w:t>An: support@technomotion.ch</w:t>
        <w:br/>
        <w:t>Datum: 06.06.2025</w:t>
        <w:br/>
        <w:t>Betreff: Ihre Reklamation Roboterarm XTR-2000</w:t>
        <w:br/>
        <w:br/>
        <w:t>Sehr geehrter Herr Dr. Lehmann</w:t>
        <w:br/>
        <w:br/>
        <w:t>Wir haben Ihre Beanstandung geprüft. Nach Überprüfung durch unsere Qualitätssicherung entsprechen die Positionsabweichungen den Spezifikationen gemäss ISO 9283 für Roboterarme und liegen im vertraglich vereinbarten Toleranzbereich.</w:t>
        <w:br/>
        <w:br/>
        <w:t>Eine Ersatzlieferung ist gemäss Vertrag nicht angezeigt.</w:t>
        <w:br/>
        <w:br/>
        <w:t>Freundliche Grüsse</w:t>
        <w:br/>
        <w:t>RoboTec AG</w:t>
        <w:br/>
        <w:t>Serviceabteilung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