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Mängelrüge – TechnoMotion GmbH</w:t>
      </w:r>
    </w:p>
    <w:p>
      <w:r>
        <w:t>Von: support@technomotion.ch</w:t>
        <w:br/>
        <w:t>An: service@robotec.ch</w:t>
        <w:br/>
        <w:t>Datum: 05.06.2025</w:t>
        <w:br/>
        <w:t>Betreff: MASSIVE MÄNGEL – Roboterarm XTR-2000</w:t>
        <w:br/>
        <w:br/>
        <w:t>Sehr geehrte Damen und Herren</w:t>
        <w:br/>
        <w:br/>
        <w:t>Der von Ihnen gelieferte Roboterarm ist inakzeptabel! Die Greifkraft ist extrem instabil, Positionsabweichungen betragen bis zu 7 mm – dies entspricht keiner professionellen Fertigungsqualität!</w:t>
        <w:br/>
        <w:br/>
        <w:t>Wir fordern Sie auf, innerhalb von 5 Werktagen eine Ersatzlieferung zu organisieren, andernfalls sehen wir uns gezwungen, rechtliche Schritte einzuleiten.</w:t>
        <w:br/>
        <w:br/>
        <w:t>Mit sehr unzufriedenen Grüssen</w:t>
        <w:br/>
        <w:t>TechnoMotion GmbH</w:t>
        <w:br/>
        <w:t>Dr. Urs Lehmann, Geschäftsführer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