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2 – RoboTec AG</w:t>
      </w:r>
    </w:p>
    <w:p>
      <w:r>
        <w:t>Von: service@robotec.ch</w:t>
        <w:br/>
        <w:t>An: support@technomotion.ch</w:t>
        <w:br/>
        <w:t>Datum: 08.06.2025</w:t>
        <w:br/>
        <w:t>Betreff: Ihre wiederholte Reklamation Roboterarm XTR-2000</w:t>
        <w:br/>
        <w:br/>
        <w:t>Sehr geehrter Herr Dr. Lehmann</w:t>
        <w:br/>
        <w:br/>
        <w:t>Wir nehmen Ihre erneute Beanstandung zur Kenntnis. Da die Funktionalität der gelieferten Einheit innerhalb der vereinbarten technischen Parameter liegt und keine wesentlichen Mängel bestehen, sehen wir nach aktueller Sach- und Rechtslage keine Grundlage für eine Ersatzlieferung oder einen Rücktritt vom Vertrag.</w:t>
        <w:br/>
        <w:br/>
        <w:t>Wir verweisen auf die vereinbarten AGB und bitten um Ihr Verständnis.</w:t>
        <w:br/>
        <w:br/>
        <w:t>Freundliche Grüsse</w:t>
        <w:br/>
        <w:t>RoboTec AG</w:t>
        <w:br/>
        <w:t>Rechtsabteilung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