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Nexapp Solutions GmbH</w:t>
      </w:r>
    </w:p>
    <w:p>
      <w:r>
        <w:t>Von: support@nexapp.ch</w:t>
        <w:br/>
        <w:t>An: it@orionag.ch</w:t>
        <w:br/>
        <w:t>Datum: 16.05.2025</w:t>
        <w:br/>
        <w:t>Betreff: Ihre Reklamation bzgl. Lizenzvertrag TeamConnect Pro</w:t>
        <w:br/>
        <w:br/>
        <w:t>Sehr geehrter Herr Schär</w:t>
        <w:br/>
        <w:br/>
        <w:t>Gemäss Art. 210 OR hätte der angebliche Mangel unmittelbar nach Aktivierung gemeldet werden müssen. Zudem liegt kein Mangel im Sinne von Art. 197 OR vor, da die Outlook-Synchronisation optional ist und im AGB explizit als Beta gekennzeichnet wurde.</w:t>
        <w:br/>
        <w:br/>
        <w:t>Mit freundlichen Grüssen</w:t>
        <w:br/>
        <w:t>Nexapp Solutions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