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E-Mail – Orion Treuhand AG (Zweiter Schriftwechsel)</w:t>
      </w:r>
    </w:p>
    <w:p>
      <w:r>
        <w:t>Von: it@orionag.ch</w:t>
        <w:br/>
        <w:t>An: support@nexapp.ch</w:t>
        <w:br/>
        <w:t>Datum: 18.05.2025</w:t>
        <w:br/>
        <w:t>Betreff: Ihre Antwort – wir bleiben beim Rücktritt</w:t>
        <w:br/>
        <w:br/>
        <w:t>Sehr geehrtes Nexapp-Team</w:t>
        <w:br/>
        <w:br/>
        <w:t>Wir widersprechen Ihrer Einschätzung. Die Outlook-Integration war für uns kaufentscheidend. Sie wurde im Verkaufsgespräch klar als Standardfeature genannt. Die Einschränkung in den AGB ist für uns rechtlich nicht gültig, da sie widersprüchlich zur aktiven Vermarktung ist (Art. 8 UWG).</w:t>
        <w:br/>
        <w:br/>
        <w:t>Wir fordern erneut die Rückabwicklung.</w:t>
        <w:br/>
        <w:br/>
        <w:t>Freundliche Grüsse</w:t>
        <w:br/>
        <w:t>Orion Treuhand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