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Allgemeine Geschäftsbedingungen (AGB)</w:t>
      </w:r>
    </w:p>
    <w:p>
      <w:pPr>
        <w:pStyle w:val="Heading2"/>
      </w:pPr>
      <w:r>
        <w:t>Nexapp Solutions GmbH</w:t>
      </w:r>
    </w:p>
    <w:p>
      <w:r>
        <w:t>Diese AGB regeln das Vertragsverhältnis zwischen Nexapp Solutions GmbH (nachfolgend „Anbieter“) und Geschäftskunden (nachfolgend „Kunde“) im Rahmen der Nutzung der Softwarelösung 'TeamConnect Pro'.</w:t>
      </w:r>
    </w:p>
    <w:p>
      <w:pPr>
        <w:pStyle w:val="Heading2"/>
      </w:pPr>
      <w:r>
        <w:t>1. Vertragsgegenstand</w:t>
      </w:r>
    </w:p>
    <w:p>
      <w:r>
        <w:t>Gegenstand dieser AGB ist die zeitlich beschränkte, nicht exklusive Nutzung der SaaS-Anwendung 'TeamConnect Pro' über das Internet. Die Software verbleibt auf den Servern des Anbieters.</w:t>
      </w:r>
    </w:p>
    <w:p>
      <w:pPr>
        <w:pStyle w:val="Heading2"/>
      </w:pPr>
      <w:r>
        <w:t>2. Vertragsschluss und Laufzeit</w:t>
      </w:r>
    </w:p>
    <w:p>
      <w:r>
        <w:t>Der Vertrag kommt durch schriftliche Annahme eines Angebots oder durch Abschluss über ein Online-Bestellformular zustande. Die Mindestlaufzeit beträgt 12 Monate und verlängert sich automatisch um jeweils 12 Monate, sofern nicht mit Frist von 30 Tagen zum Ende der Laufzeit gekündigt wird.</w:t>
      </w:r>
    </w:p>
    <w:p>
      <w:pPr>
        <w:pStyle w:val="Heading2"/>
      </w:pPr>
      <w:r>
        <w:t>3. Leistungsumfang</w:t>
      </w:r>
    </w:p>
    <w:p>
      <w:r>
        <w:t>Der Anbieter stellt die Applikation im aktuellen Entwicklungsstand zur Verfügung. Der konkrete Funktionsumfang ergibt sich aus der Produktbeschreibung. Nicht garantierte Zusatzfunktionen wie Integrationen mit Drittsoftware gelten als unverbindliche Zusatzdienste.</w:t>
      </w:r>
    </w:p>
    <w:p>
      <w:pPr>
        <w:pStyle w:val="Heading2"/>
      </w:pPr>
      <w:r>
        <w:t>4. Technische Voraussetzungen</w:t>
      </w:r>
    </w:p>
    <w:p>
      <w:r>
        <w:t>Die Nutzung erfordert eine stabile Internetverbindung sowie aktuelle Browser. Kompatibilität mit lokal installierter Software kann nicht garantiert werden, ausser dies wurde explizit schriftlich zugesichert.</w:t>
      </w:r>
    </w:p>
    <w:p>
      <w:pPr>
        <w:pStyle w:val="Heading2"/>
      </w:pPr>
      <w:r>
        <w:t>5. Zahlungskonditionen</w:t>
      </w:r>
    </w:p>
    <w:p>
      <w:r>
        <w:t>Rechnungen sind innert 30 Tagen netto zu begleichen. Bei Zahlungsverzug wird eine Mahngebühr von CHF 30.– erhoben, sowie Verzugszinsen gemäss OR Art. 104 Abs. 1.</w:t>
      </w:r>
    </w:p>
    <w:p>
      <w:pPr>
        <w:pStyle w:val="Heading2"/>
      </w:pPr>
      <w:r>
        <w:t>6. Mängel und Support</w:t>
      </w:r>
    </w:p>
    <w:p>
      <w:r>
        <w:t>Der Kunde verpflichtet sich gemäss OR Art. 210 zur sofortigen Prüfung nach Freischaltung und zur Mängelrüge innert 5 Arbeitstagen. Supportanfragen sind per E-Mail zu stellen. Wartung und Updates erfolgen automatisch durch den Anbieter.</w:t>
      </w:r>
    </w:p>
    <w:p>
      <w:pPr>
        <w:pStyle w:val="Heading2"/>
      </w:pPr>
      <w:r>
        <w:t>7. Haftung</w:t>
      </w:r>
    </w:p>
    <w:p>
      <w:r>
        <w:t>Der Anbieter haftet nur für grobfahrlässig oder vorsätzlich verursachte Schäden. Jegliche Haftung für indirekte Schäden, entgangenen Gewinn oder Datenverluste ist ausgeschlossen.</w:t>
      </w:r>
    </w:p>
    <w:p>
      <w:pPr>
        <w:pStyle w:val="Heading2"/>
      </w:pPr>
      <w:r>
        <w:t>8. Datenschutz</w:t>
      </w:r>
    </w:p>
    <w:p>
      <w:r>
        <w:t>Personenbezogene Daten werden ausschliesslich im Rahmen der Vertragsdurchführung und gemäss DSGVO verarbeitet. Eine Weitergabe an Dritte erfolgt nicht ohne ausdrückliche Zustimmung.</w:t>
      </w:r>
    </w:p>
    <w:p>
      <w:pPr>
        <w:pStyle w:val="Heading2"/>
      </w:pPr>
      <w:r>
        <w:t>9. Schlussbestimmungen</w:t>
      </w:r>
    </w:p>
    <w:p>
      <w:r>
        <w:t>Es gilt ausschliesslich Schweizer Recht. Gerichtsstand ist Basel-Stadt. Nebenabreden bedürfen der Schriftform.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