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CaféTec GmbH</w:t>
      </w:r>
    </w:p>
    <w:p>
      <w:r>
        <w:t>Von: kundenservice@cafetec.ch</w:t>
        <w:br/>
        <w:t>An: dhuber@bluewin.ch</w:t>
        <w:br/>
        <w:t>Datum: 11.05.2025</w:t>
        <w:br/>
        <w:t>Betreff: Rückgabe Kaffeemaschine – keine Rücknahme möglich</w:t>
        <w:br/>
        <w:br/>
        <w:t>Sehr geehrter Herr Huber</w:t>
        <w:br/>
        <w:br/>
        <w:t>Vielen Dank für Ihre Mitteilung. Wir verstehen Ihre Situation, möchten jedoch darauf hinweisen, dass es im Schweizer Recht kein gesetzlich garantiertes Widerrufsrecht im Onlinehandel gibt. Dies gilt insbesondere, wenn das Produkt geöffnet oder ausprobiert wurde.</w:t>
        <w:br/>
        <w:br/>
        <w:t>Unsere AGB weisen ausdrücklich darauf hin, dass geöffnete Produkte nicht zurückgenommen werden. Wir bitten um Verständnis, dass wir die Rücknahme in diesem Fall nicht akzeptieren können.</w:t>
        <w:br/>
        <w:br/>
        <w:t>Mit freundlichen Grüssen</w:t>
        <w:br/>
        <w:t>Ihr CaféTec Kundenservice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