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Antwort – CaféTec GmbH</w:t>
      </w:r>
    </w:p>
    <w:p>
      <w:r>
        <w:t>Von: kundenservice@cafetec.ch</w:t>
        <w:br/>
        <w:t>An: dhuber@bluewin.ch</w:t>
        <w:br/>
        <w:t>Datum: 13.05.2025</w:t>
        <w:br/>
        <w:t>Betreff: Endgültige Antwort – Rückgabe Kaffeemaschine</w:t>
        <w:br/>
        <w:br/>
        <w:t>Sehr geehrter Herr Huber</w:t>
        <w:br/>
        <w:br/>
        <w:t>Wir nehmen Ihre Rückmeldung ernst und möchten nochmals betonen, dass unsere Informationspflicht vollumfänglich erfüllt wurde. Die Bestellbestätigung und unsere AGB weisen klar auf die eingeschränkte Rückgabeoption hin.</w:t>
        <w:br/>
        <w:br/>
        <w:t>Ein Rücktrittsrecht wie in der EU besteht im Schweizer OR nicht. Wir danken für Ihr Verständnis und hoffen, Sie künftig wieder bedienen zu dürfen.</w:t>
        <w:br/>
        <w:br/>
        <w:t>Mit freundlichen Grüssen</w:t>
        <w:br/>
        <w:t>CaféTec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