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Zweite Nachricht – Nico Bieri</w:t>
      </w:r>
    </w:p>
    <w:p>
      <w:r>
        <w:t>Von: n.bieri@jusmail.ch</w:t>
        <w:br/>
        <w:t>An: jasmin_tanner87@bluewin.ch</w:t>
        <w:br/>
        <w:t>Datum: 11.05.2025</w:t>
        <w:br/>
        <w:t>Betreff: Rückabwicklung gemäss OR 23/24</w:t>
        <w:br/>
        <w:br/>
        <w:t>Sehr geehrte Frau Tanner</w:t>
        <w:br/>
        <w:br/>
        <w:t>Ihr Inserat erweckt den Eindruck eines aktuellen Modells. Ihre WhatsApp-Bestätigung zur 4K-Funktion war entscheidend für meine Kaufentscheidung. Unabhängig von Vorsatz oder Fachwissen liegt objektiv ein wesentlicher Irrtum über eine zentrale Produkteigenschaft vor.</w:t>
        <w:br/>
        <w:br/>
        <w:t>Ich beziehe mich auf die herrschende Lehre zur objektiven Wesentlichkeit gemäss BGE 114 II 131.</w:t>
        <w:br/>
        <w:br/>
        <w:t>Ich bitte nochmals um Rücknahmebestätigung.</w:t>
        <w:br/>
        <w:br/>
        <w:t>Mit Gruss</w:t>
        <w:br/>
        <w:t>Nico Bieri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