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Mitteilung – BureauPlus SA (Legal Counsel)</w:t>
      </w:r>
    </w:p>
    <w:p>
      <w:r>
        <w:t>Von: legal@bureauplus.ch</w:t>
        <w:br/>
        <w:t>An: support@techzone.ch</w:t>
        <w:br/>
        <w:t>Datum: 13.05.2025</w:t>
        <w:br/>
        <w:t>Betreff: Rücktritt wegen wesentlichem Irrtum – Tastaturlayout</w:t>
        <w:br/>
        <w:br/>
        <w:t>Sehr geehrte Damen und Herren</w:t>
        <w:br/>
        <w:br/>
        <w:t>Nach Prüfung der gelieferten Geräte stellen wir fest, dass sämtliche Geräte mit einem QWERTZ-Layout versehen sind. Wie im Vertrag vom 05.05.2025 festgehalten, bestand unsererseits eine ausdrückliche Erwartung bzgl. französischem AZERTY-Layout, welche auch vertraglich erwähnt wurde.</w:t>
        <w:br/>
        <w:br/>
        <w:t>Es liegt aus unserer Sicht ein relevanter Grundlagenirrtum vor (Art. 24 Abs. 1 Ziff. 4 OR). Wir machen deshalb Rückabwicklung geltend.</w:t>
        <w:br/>
        <w:br/>
        <w:t>Mit freundlichen Grüssen</w:t>
        <w:br/>
        <w:t>Dr. Céline Rogivue</w:t>
        <w:br/>
        <w:t>Legal Counsel, BureauPlus 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