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Antwort – GameEquip AG (Legal)</w:t>
      </w:r>
    </w:p>
    <w:p>
      <w:r>
        <w:t>Von: legal@gameequip.ch</w:t>
        <w:br/>
        <w:t>An: michael.trachsel@gmx.ch</w:t>
        <w:br/>
        <w:t>Datum: 07.05.2025</w:t>
        <w:br/>
        <w:t>Betreff: Ihre Rücktrittserklärung – RTX 4080</w:t>
        <w:br/>
        <w:br/>
        <w:t>Sehr geehrter Herr Trachsel</w:t>
        <w:br/>
        <w:br/>
        <w:t>Wir danken für Ihre Nachricht. Wir weisen höflich darauf hin, dass in unserer Artikelbeschreibung ausdrücklich von der Phantom X OC Edition die Rede war – nicht von der Founders Edition. Das Bild und die technischen Daten entsprechen der gelieferten Ware.</w:t>
        <w:br/>
        <w:br/>
        <w:t>Ein Motivirrtum reicht nicht aus für eine Rückabwicklung nach Art. 24 OR. Der Vertrag wurde korrekt erfüllt.</w:t>
        <w:br/>
        <w:br/>
        <w:t>Mit freundlichen Grüssen</w:t>
        <w:br/>
        <w:t>GameEquip AG – Rechtsdienst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