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C414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发票校验</w:t>
      </w:r>
      <w:r w:rsidRPr="00CC414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CC414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参考采购订单标准型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414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当供应商开出发票，我们需要对其开出的发票进行确认，确认应付款对象和金额。本步操作只是对其发票校验确认，属于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模块业务，它不涉及应付帐款业务，操作完成后将增加对供应商的应付帐款。应付帐款的查询及清帐操作参见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模块相关内容。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示例操作的发票校验参照采购订单生成，开票的供应商从采购订单中带出不再更改，校验的金额从采购订单中带出不带有偏差；进项税码则可以选择并将税款加入总金额中。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操作完成后将生成发票凭证，并自动生成会计凭证，发票凭证可在采购订单的历史记录中查看。它与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模块的发票校验不同：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操作后只生成会计凭证而无发票凭证。发票凭证可用事物码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MIR4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MIR5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显示，并可以用事物码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MR8M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冲销。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MR8M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只冲销发票凭证，会计凭证则需要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模块的手工单据冲销。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此项操作需要但不限于以下条件：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．供应商维护了相关公司代码视图，并维护了统驭科目，参见《</w:t>
      </w:r>
      <w:hyperlink r:id="rId5" w:tgtFrame="_blank" w:history="1">
        <w:r w:rsidRPr="00CC414E">
          <w:rPr>
            <w:rFonts w:ascii="simsun" w:eastAsia="宋体" w:hAnsi="simsun" w:cs="宋体"/>
            <w:color w:val="91266C"/>
            <w:kern w:val="0"/>
            <w:szCs w:val="21"/>
          </w:rPr>
          <w:t>供应商主数据</w:t>
        </w:r>
        <w:r w:rsidRPr="00CC414E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CC414E">
          <w:rPr>
            <w:rFonts w:ascii="simsun" w:eastAsia="宋体" w:hAnsi="simsun" w:cs="宋体"/>
            <w:color w:val="91266C"/>
            <w:kern w:val="0"/>
            <w:szCs w:val="21"/>
          </w:rPr>
          <w:t>公司代码视图</w:t>
        </w:r>
      </w:hyperlink>
      <w:r w:rsidRPr="00CC414E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GR/IR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中间科目已在自动记帐操作中维护正确，记帐过程为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WRX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（已收货物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已收发票清算科目），操作参见《</w:t>
      </w:r>
      <w:hyperlink r:id="rId6" w:tgtFrame="_blank" w:history="1">
        <w:r w:rsidRPr="00CC414E">
          <w:rPr>
            <w:rFonts w:ascii="simsun" w:eastAsia="宋体" w:hAnsi="simsun" w:cs="宋体"/>
            <w:color w:val="91266C"/>
            <w:kern w:val="0"/>
            <w:szCs w:val="21"/>
          </w:rPr>
          <w:t>配置物料管理的自动记帐</w:t>
        </w:r>
      </w:hyperlink>
      <w:r w:rsidRPr="00CC414E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．采购订单是由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ME21N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创建，并且已完成收货操作；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4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．进项税的自动记帐已维护，详见《</w:t>
      </w:r>
      <w:hyperlink r:id="rId7" w:tgtFrame="_blank" w:history="1">
        <w:r w:rsidRPr="00CC414E">
          <w:rPr>
            <w:rFonts w:ascii="simsun" w:eastAsia="宋体" w:hAnsi="simsun" w:cs="宋体"/>
            <w:color w:val="91266C"/>
            <w:kern w:val="0"/>
            <w:szCs w:val="21"/>
          </w:rPr>
          <w:t>定义销售购置税科目</w:t>
        </w:r>
      </w:hyperlink>
      <w:r w:rsidRPr="00CC414E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5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．发票校验的金额为采购订单条件中的金额且无差异，如有差异则需维护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PP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类型的容差范围（详见《</w:t>
      </w:r>
      <w:hyperlink r:id="rId8" w:tgtFrame="_blank" w:history="1">
        <w:r w:rsidRPr="00CC414E">
          <w:rPr>
            <w:rFonts w:ascii="simsun" w:eastAsia="宋体" w:hAnsi="simsun" w:cs="宋体"/>
            <w:color w:val="91266C"/>
            <w:kern w:val="0"/>
            <w:szCs w:val="21"/>
          </w:rPr>
          <w:t>定义物料管理的容差范围</w:t>
        </w:r>
      </w:hyperlink>
      <w:r w:rsidRPr="00CC414E">
        <w:rPr>
          <w:rFonts w:ascii="simsun" w:eastAsia="宋体" w:hAnsi="simsun" w:cs="宋体"/>
          <w:color w:val="494949"/>
          <w:kern w:val="0"/>
          <w:szCs w:val="21"/>
        </w:rPr>
        <w:t>》）；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生成的会计凭证增加对供应商的应付帐款，减少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GR/IR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中间科目（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GR/IR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中间科目在收货作为借方使用），记帐形式如下：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借：供应商统驭科目；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贷：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GR/IR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中间科目。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414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二．参照凭证及操作数据说明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示例是对采购订单的发票校验，采购订单号已知，如未知可通过搜索方法查询。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发票校验的金额是采购订单条件中的金额，无任何数量差异。开票公司、供应商从采购订单带出，供应商无需再次更改指定。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最终校验的金额是采购订单金额加上税额。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414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MIRO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按回车进入操作。系统弹出图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对话框，要求输入公司代码，按采购订单中的公司代码输入，按确认键（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发票校验_参考采购订单标准型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发票校验_参考采购订单标准型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152650" cy="1066800"/>
            <wp:effectExtent l="0" t="0" r="0" b="0"/>
            <wp:docPr id="16" name="图片 16" descr="发票校验_参考采购订单标准型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发票校验_参考采购订单标准型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公司代码对话框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5619750"/>
            <wp:effectExtent l="0" t="0" r="0" b="0"/>
            <wp:docPr id="15" name="图片 15" descr="发票校验_参考采购订单标准型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发票校验_参考采购订单标准型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发票校验初始界面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是发票校验初始界面，首先要注意工具栏上方的公司代码是否正确，如不正确可点击菜单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编辑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切换公司代码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弹出图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对话框进行重新指定。其次注意业务处理栏选择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“1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发票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条目，表明是对发票校验。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以上选对参数后在抬头的基本数据标签页输入发票日期、过帐日期；再到支付款项标签页输入基线日期，如图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362200"/>
            <wp:effectExtent l="0" t="0" r="0" b="0"/>
            <wp:docPr id="14" name="图片 14" descr="发票校验_参考采购订单标准型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发票校验_参考采购订单标准型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抬头支付款项票签页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847725"/>
            <wp:effectExtent l="0" t="0" r="0" b="9525"/>
            <wp:docPr id="13" name="图片 13" descr="发票校验_参考采购订单标准型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发票校验_参考采购订单标准型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输入采购订单号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界面在单据类型栏选择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“1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采购订单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计划协议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，表明是对采购订单发票校验；单据及项目栏输入采购订单号，由于是对订单进行全部校验，所以项目栏可不填写。输入完成后按下执行按钮（），进入以下操作。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562225"/>
            <wp:effectExtent l="0" t="0" r="0" b="9525"/>
            <wp:docPr id="12" name="图片 12" descr="发票校验_参考采购订单标准型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发票校验_参考采购订单标准型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采购订单被带出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如果采购订单存在并且允许发票校验，则在条目栏显示采购订单信息，如图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所示，由于界面中尚未打上计算税额标志，所以税额栏为空，右上角只显示采购订单中的金额（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5,200.00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元）。在条目栏右侧选择不同查看的类型，如图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所示。图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显示的是图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界面中可以校验采购订单的详细信息，可以看到金额为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5,200.00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元。图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是显示开票的供应商的信息，它的信息是从采购订单和主数据中带出的，此处可以更改成其它相关的开票供应商。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762250" cy="1009650"/>
            <wp:effectExtent l="0" t="0" r="0" b="0"/>
            <wp:docPr id="11" name="图片 11" descr="发票校验_参考采购订单标准型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发票校验_参考采购订单标准型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显示选项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114425"/>
            <wp:effectExtent l="0" t="0" r="0" b="9525"/>
            <wp:docPr id="10" name="图片 10" descr="发票校验_参考采购订单标准型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发票校验_参考采购订单标准型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校验条目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76650" cy="2295525"/>
            <wp:effectExtent l="0" t="0" r="0" b="9525"/>
            <wp:docPr id="9" name="图片 9" descr="发票校验_参考采购订单标准型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发票校验_参考采购订单标准型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开票供应商信息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接下操作如图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所示，在计算税额栏打上选中标志，税码栏为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17%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进项税，系统自动计算税额（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884.00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元）。这时需要填写发票校验的金额，它是用采购订单金额加上税额，计算后手工填写；快捷的方法是右上角余额栏系统自动计算出发票校验的差额（此时状态栏为红色），用复制粘贴的方法录入金额栏。如图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所示金额栏正确填写，状态栏显示绿色表示余额为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，校验记帐平衡。图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为局部放大图显示金额和税栏信息。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228850"/>
            <wp:effectExtent l="0" t="0" r="0" b="0"/>
            <wp:docPr id="8" name="图片 8" descr="发票校验_参考采购订单标准型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发票校验_参考采购订单标准型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校验界面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629025"/>
            <wp:effectExtent l="0" t="0" r="0" b="9525"/>
            <wp:docPr id="7" name="图片 7" descr="发票校验_参考采购订单标准型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发票校验_参考采购订单标准型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录入金额状态栏为绿色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438400"/>
            <wp:effectExtent l="0" t="0" r="0" b="0"/>
            <wp:docPr id="6" name="图片 6" descr="发票校验_参考采购订单标准型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发票校验_参考采购订单标准型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基本数据局部放大图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当余额为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0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时可按保存键（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发票校验_参考采购订单标准型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发票校验_参考采购订单标准型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）保存记帐退出。此时也可在图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界面点击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模拟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4" name="图片 4" descr="发票校验_参考采购订单标准型">
              <a:hlinkClick xmlns:a="http://schemas.openxmlformats.org/drawingml/2006/main" r:id="rId3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发票校验_参考采购订单标准型">
                      <a:hlinkClick r:id="rId3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）对记帐情况模拟，点击后如图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4029075"/>
            <wp:effectExtent l="0" t="0" r="0" b="9525"/>
            <wp:docPr id="3" name="图片 3" descr="发票校验_参考采购订单标准型">
              <a:hlinkClick xmlns:a="http://schemas.openxmlformats.org/drawingml/2006/main" r:id="rId3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发票校验_参考采购订单标准型">
                      <a:hlinkClick r:id="rId3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 xml:space="preserve">12 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模拟凭证对话框</w:t>
      </w:r>
    </w:p>
    <w:p w:rsidR="00CC414E" w:rsidRPr="00CC414E" w:rsidRDefault="00CC414E" w:rsidP="00CC414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414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显示模拟会计凭证对话框，可以看到借方记了供应商的统驭科目，贷方记录了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GR/IR</w:t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中间科目和进项税科目。如无误点击保存过帐按钮（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2" name="图片 2" descr="发票校验_参考采购订单标准型">
              <a:hlinkClick xmlns:a="http://schemas.openxmlformats.org/drawingml/2006/main" r:id="rId3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发票校验_参考采购订单标准型">
                      <a:hlinkClick r:id="rId3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）保存，底部状态栏显示生成的发票凭证号（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62150" cy="209550"/>
            <wp:effectExtent l="0" t="0" r="0" b="0"/>
            <wp:docPr id="1" name="图片 1" descr="发票校验_参考采购订单标准型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发票校验_参考采购订单标准型">
                      <a:hlinkClick r:id="rId4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14E">
        <w:rPr>
          <w:rFonts w:ascii="simsun" w:eastAsia="宋体" w:hAnsi="simsun" w:cs="宋体"/>
          <w:color w:val="494949"/>
          <w:kern w:val="0"/>
          <w:szCs w:val="21"/>
        </w:rPr>
        <w:t>），连续按返回键退出。</w:t>
      </w:r>
    </w:p>
    <w:p w:rsidR="00CC4FB1" w:rsidRPr="00CC414E" w:rsidRDefault="00CC414E">
      <w:pPr>
        <w:rPr>
          <w:rFonts w:hint="eastAsia"/>
        </w:rPr>
      </w:pPr>
      <w:bookmarkStart w:id="0" w:name="_GoBack"/>
      <w:bookmarkEnd w:id="0"/>
    </w:p>
    <w:sectPr w:rsidR="00CC4FB1" w:rsidRPr="00CC4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2B"/>
    <w:rsid w:val="006362C1"/>
    <w:rsid w:val="00B06D2B"/>
    <w:rsid w:val="00CC414E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41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41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41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414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414E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C4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C41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41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41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41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41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414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414E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C4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C41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4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00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34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e6p3.html" TargetMode="External"/><Relationship Id="rId13" Type="http://schemas.openxmlformats.org/officeDocument/2006/relationships/hyperlink" Target="http://photo.blog.sina.com.cn/showpic.html#blogid=4e997c670100esn6&amp;url=http://s3.sinaimg.cn/orignal/4e997c67t7162022ee722&amp;690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9" Type="http://schemas.openxmlformats.org/officeDocument/2006/relationships/hyperlink" Target="http://photo.blog.sina.com.cn/showpic.html#blogid=4e997c670100esn6&amp;url=http://s4.sinaimg.cn/orignal/4e997c67t71bd01214e43&amp;6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esn6&amp;url=http://s6.sinaimg.cn/orignal/4e997c67tc6dd42b3a525&amp;690" TargetMode="External"/><Relationship Id="rId34" Type="http://schemas.openxmlformats.org/officeDocument/2006/relationships/image" Target="media/image13.jpeg"/><Relationship Id="rId42" Type="http://schemas.openxmlformats.org/officeDocument/2006/relationships/image" Target="media/image17.jpeg"/><Relationship Id="rId7" Type="http://schemas.openxmlformats.org/officeDocument/2006/relationships/hyperlink" Target="http://blog.sina.com.cn/s/blog_4e997c670100e4ny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photo.blog.sina.com.cn/showpic.html#blogid=4e997c670100esn6&amp;url=http://s14.sinaimg.cn/orignal/4e997c67t7162036f4f8d&amp;690" TargetMode="External"/><Relationship Id="rId25" Type="http://schemas.openxmlformats.org/officeDocument/2006/relationships/hyperlink" Target="http://photo.blog.sina.com.cn/showpic.html#blogid=4e997c670100esn6&amp;url=http://s13.sinaimg.cn/orignal/4e997c67t7162055b29dc&amp;690" TargetMode="External"/><Relationship Id="rId33" Type="http://schemas.openxmlformats.org/officeDocument/2006/relationships/hyperlink" Target="http://photo.blog.sina.com.cn/showpic.html#blogid=4e997c670100esn6&amp;url=http://s12.sinaimg.cn/orignal/4e997c67t6bbe4cef4c5b&amp;690" TargetMode="External"/><Relationship Id="rId38" Type="http://schemas.openxmlformats.org/officeDocument/2006/relationships/image" Target="media/image15.jpeg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://photo.blog.sina.com.cn/showpic.html#blogid=4e997c670100esn6&amp;url=http://s15.sinaimg.cn/orignal/4e997c67t7162068b1f3e&amp;690" TargetMode="External"/><Relationship Id="rId41" Type="http://schemas.openxmlformats.org/officeDocument/2006/relationships/hyperlink" Target="http://photo.blog.sina.com.cn/showpic.html#blogid=4e997c670100esn6&amp;url=http://s5.sinaimg.cn/orignal/4e997c67t71620bd6d104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77p.html" TargetMode="External"/><Relationship Id="rId11" Type="http://schemas.openxmlformats.org/officeDocument/2006/relationships/hyperlink" Target="http://photo.blog.sina.com.cn/showpic.html#blogid=4e997c670100esn6&amp;url=http://s15.sinaimg.cn/orignal/4e997c67t716201a7dc7e&amp;690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hyperlink" Target="http://photo.blog.sina.com.cn/showpic.html#blogid=4e997c670100esn6&amp;url=http://s7.sinaimg.cn/orignal/4e997c67t71620a141726&amp;690" TargetMode="External"/><Relationship Id="rId40" Type="http://schemas.openxmlformats.org/officeDocument/2006/relationships/image" Target="media/image16.jpeg"/><Relationship Id="rId5" Type="http://schemas.openxmlformats.org/officeDocument/2006/relationships/hyperlink" Target="http://blog.sina.com.cn/s/blog_4e997c670100eeih.html" TargetMode="External"/><Relationship Id="rId15" Type="http://schemas.openxmlformats.org/officeDocument/2006/relationships/hyperlink" Target="http://photo.blog.sina.com.cn/showpic.html#blogid=4e997c670100esn6&amp;url=http://s6.sinaimg.cn/orignal/4e997c67t716203010c65&amp;690" TargetMode="External"/><Relationship Id="rId23" Type="http://schemas.openxmlformats.org/officeDocument/2006/relationships/hyperlink" Target="http://photo.blog.sina.com.cn/showpic.html#blogid=4e997c670100esn6&amp;url=http://s10.sinaimg.cn/orignal/4e997c67t716204ce4629&amp;690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hyperlink" Target="http://photo.blog.sina.com.cn/showpic.html#blogid=4e997c670100esn6&amp;url=http://s2.sinaimg.cn/orignal/4e997c67t716203de50d1&amp;690" TargetMode="External"/><Relationship Id="rId31" Type="http://schemas.openxmlformats.org/officeDocument/2006/relationships/hyperlink" Target="http://photo.blog.sina.com.cn/showpic.html#blogid=4e997c670100esn6&amp;url=http://s4.sinaimg.cn/orignal/4e997c67t71620743c013&amp;69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sn6&amp;url=http://s5.sinaimg.cn/orignal/4e997c67t6bbe4cef3224&amp;690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://photo.blog.sina.com.cn/showpic.html#blogid=4e997c670100esn6&amp;url=http://s9.sinaimg.cn/orignal/4e997c67t716205f8ce38&amp;690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://photo.blog.sina.com.cn/showpic.html#blogid=4e997c670100esn6&amp;url=http://s13.sinaimg.cn/orignal/4e997c67t71620a9a45ac&amp;69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2012-08-12T16:09:00Z</dcterms:created>
  <dcterms:modified xsi:type="dcterms:W3CDTF">2012-08-12T16:09:00Z</dcterms:modified>
</cp:coreProperties>
</file>