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CD412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定义应收应付容差组</w:t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CD412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CD412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系统后台定义应收应付容差组，可在</w:t>
      </w:r>
      <w:proofErr w:type="gramStart"/>
      <w:r w:rsidRPr="00CD4128">
        <w:rPr>
          <w:rFonts w:ascii="simsun" w:eastAsia="宋体" w:hAnsi="simsun" w:cs="宋体"/>
          <w:color w:val="494949"/>
          <w:kern w:val="0"/>
          <w:szCs w:val="21"/>
        </w:rPr>
        <w:t>清帐</w:t>
      </w:r>
      <w:proofErr w:type="gramEnd"/>
      <w:r w:rsidRPr="00CD4128">
        <w:rPr>
          <w:rFonts w:ascii="simsun" w:eastAsia="宋体" w:hAnsi="simsun" w:cs="宋体"/>
          <w:color w:val="494949"/>
          <w:kern w:val="0"/>
          <w:szCs w:val="21"/>
        </w:rPr>
        <w:t>时进行金额约束。对于供应商和客户的收</w:t>
      </w:r>
      <w:proofErr w:type="gramStart"/>
      <w:r w:rsidRPr="00CD4128">
        <w:rPr>
          <w:rFonts w:ascii="simsun" w:eastAsia="宋体" w:hAnsi="simsun" w:cs="宋体"/>
          <w:color w:val="494949"/>
          <w:kern w:val="0"/>
          <w:szCs w:val="21"/>
        </w:rPr>
        <w:t>付业务</w:t>
      </w:r>
      <w:proofErr w:type="gramEnd"/>
      <w:r w:rsidRPr="00CD4128">
        <w:rPr>
          <w:rFonts w:ascii="simsun" w:eastAsia="宋体" w:hAnsi="simsun" w:cs="宋体"/>
          <w:color w:val="494949"/>
          <w:kern w:val="0"/>
          <w:szCs w:val="21"/>
        </w:rPr>
        <w:t>，可以定义一些控制条件，如对某类供应商的付款差异不超过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50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元，或发票金额的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0.05%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等。</w:t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此容差组由于与支付相关，所以在供应商、客户</w:t>
      </w:r>
      <w:proofErr w:type="gramStart"/>
      <w:r w:rsidRPr="00CD4128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CD4128">
        <w:rPr>
          <w:rFonts w:ascii="simsun" w:eastAsia="宋体" w:hAnsi="simsun" w:cs="宋体"/>
          <w:color w:val="494949"/>
          <w:kern w:val="0"/>
          <w:szCs w:val="21"/>
        </w:rPr>
        <w:t>中均有维护位置，它们是：</w:t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．供应商</w:t>
      </w:r>
      <w:proofErr w:type="gramStart"/>
      <w:r w:rsidRPr="00CD4128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CD4128">
        <w:rPr>
          <w:rFonts w:ascii="simsun" w:eastAsia="宋体" w:hAnsi="simsun" w:cs="宋体"/>
          <w:color w:val="494949"/>
          <w:kern w:val="0"/>
          <w:szCs w:val="21"/>
        </w:rPr>
        <w:t>公司代码视图支付交易</w:t>
      </w:r>
      <w:proofErr w:type="gramStart"/>
      <w:r w:rsidRPr="00CD4128">
        <w:rPr>
          <w:rFonts w:ascii="simsun" w:eastAsia="宋体" w:hAnsi="simsun" w:cs="宋体"/>
          <w:color w:val="494949"/>
          <w:kern w:val="0"/>
          <w:szCs w:val="21"/>
        </w:rPr>
        <w:t>标签页下的</w:t>
      </w:r>
      <w:proofErr w:type="gramEnd"/>
      <w:r w:rsidRPr="00CD412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支付数据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容差组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条目</w:t>
      </w:r>
      <w:r w:rsidRPr="00CD4128">
        <w:rPr>
          <w:rFonts w:ascii="Times New Roman" w:eastAsia="宋体" w:hAnsi="Times New Roman" w:cs="Times New Roman" w:hint="eastAsia"/>
          <w:color w:val="494949"/>
          <w:szCs w:val="24"/>
        </w:rPr>
        <w:t>，参见《</w:t>
      </w:r>
      <w:hyperlink r:id="rId6" w:tgtFrame="_blank" w:history="1">
        <w:r w:rsidRPr="00CD4128">
          <w:rPr>
            <w:rFonts w:ascii="Times New Roman" w:eastAsia="宋体" w:hAnsi="Times New Roman" w:cs="Times New Roman" w:hint="eastAsia"/>
            <w:color w:val="91266C"/>
            <w:szCs w:val="24"/>
          </w:rPr>
          <w:t>供应商主数据</w:t>
        </w:r>
        <w:r w:rsidRPr="00CD4128">
          <w:rPr>
            <w:rFonts w:ascii="Times New Roman" w:eastAsia="宋体" w:hAnsi="Times New Roman" w:cs="Times New Roman"/>
            <w:color w:val="91266C"/>
            <w:szCs w:val="24"/>
          </w:rPr>
          <w:t>_</w:t>
        </w:r>
        <w:r w:rsidRPr="00CD4128">
          <w:rPr>
            <w:rFonts w:ascii="Times New Roman" w:eastAsia="宋体" w:hAnsi="Times New Roman" w:cs="Times New Roman" w:hint="eastAsia"/>
            <w:color w:val="91266C"/>
            <w:szCs w:val="24"/>
          </w:rPr>
          <w:t>公司代码视图</w:t>
        </w:r>
      </w:hyperlink>
      <w:r w:rsidRPr="00CD4128">
        <w:rPr>
          <w:rFonts w:ascii="Times New Roman" w:eastAsia="宋体" w:hAnsi="Times New Roman" w:cs="Times New Roman" w:hint="eastAsia"/>
          <w:color w:val="494949"/>
          <w:szCs w:val="24"/>
        </w:rPr>
        <w:t>》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；</w:t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．客户</w:t>
      </w:r>
      <w:proofErr w:type="gramStart"/>
      <w:r w:rsidRPr="00CD4128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CD4128">
        <w:rPr>
          <w:rFonts w:ascii="simsun" w:eastAsia="宋体" w:hAnsi="simsun" w:cs="宋体"/>
          <w:color w:val="494949"/>
          <w:kern w:val="0"/>
          <w:szCs w:val="21"/>
        </w:rPr>
        <w:t>公司代码视图支付交易</w:t>
      </w:r>
      <w:proofErr w:type="gramStart"/>
      <w:r w:rsidRPr="00CD4128">
        <w:rPr>
          <w:rFonts w:ascii="simsun" w:eastAsia="宋体" w:hAnsi="simsun" w:cs="宋体"/>
          <w:color w:val="494949"/>
          <w:kern w:val="0"/>
          <w:szCs w:val="21"/>
        </w:rPr>
        <w:t>标签页下的</w:t>
      </w:r>
      <w:proofErr w:type="gramEnd"/>
      <w:r w:rsidRPr="00CD412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支付数据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容差组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条目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CD4128">
        <w:rPr>
          <w:rFonts w:ascii="Times New Roman" w:eastAsia="宋体" w:hAnsi="Times New Roman" w:cs="Times New Roman" w:hint="eastAsia"/>
          <w:color w:val="494949"/>
          <w:szCs w:val="24"/>
        </w:rPr>
        <w:t>参见《</w:t>
      </w:r>
      <w:hyperlink r:id="rId7" w:tgtFrame="_blank" w:history="1">
        <w:r w:rsidRPr="00CD4128">
          <w:rPr>
            <w:rFonts w:ascii="Times New Roman" w:eastAsia="宋体" w:hAnsi="Times New Roman" w:cs="Times New Roman" w:hint="eastAsia"/>
            <w:color w:val="91266C"/>
            <w:szCs w:val="24"/>
          </w:rPr>
          <w:t>客户主数据</w:t>
        </w:r>
        <w:r w:rsidRPr="00CD4128">
          <w:rPr>
            <w:rFonts w:ascii="Times New Roman" w:eastAsia="宋体" w:hAnsi="Times New Roman" w:cs="Times New Roman"/>
            <w:color w:val="91266C"/>
            <w:szCs w:val="24"/>
          </w:rPr>
          <w:t>_</w:t>
        </w:r>
        <w:r w:rsidRPr="00CD4128">
          <w:rPr>
            <w:rFonts w:ascii="Times New Roman" w:eastAsia="宋体" w:hAnsi="Times New Roman" w:cs="Times New Roman" w:hint="eastAsia"/>
            <w:color w:val="91266C"/>
            <w:szCs w:val="24"/>
          </w:rPr>
          <w:t>公司代码视图</w:t>
        </w:r>
      </w:hyperlink>
      <w:r w:rsidRPr="00CD4128">
        <w:rPr>
          <w:rFonts w:ascii="Times New Roman" w:eastAsia="宋体" w:hAnsi="Times New Roman" w:cs="Times New Roman" w:hint="eastAsia"/>
          <w:color w:val="494949"/>
          <w:szCs w:val="24"/>
        </w:rPr>
        <w:t>》。</w:t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D412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1440"/>
        <w:gridCol w:w="3630"/>
      </w:tblGrid>
      <w:tr w:rsidR="00CD4128" w:rsidRPr="00CD4128" w:rsidTr="00CD4128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4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CD4128" w:rsidRPr="00CD4128" w:rsidTr="00CD4128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CD4128" w:rsidRPr="00CD4128" w:rsidTr="00CD4128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4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枫竹丹青有限责任公司</w:t>
            </w:r>
          </w:p>
        </w:tc>
      </w:tr>
      <w:tr w:rsidR="00CD4128" w:rsidRPr="00CD4128" w:rsidTr="00CD4128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容差组</w:t>
            </w:r>
          </w:p>
        </w:tc>
        <w:tc>
          <w:tcPr>
            <w:tcW w:w="14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</w:tr>
      <w:tr w:rsidR="00CD4128" w:rsidRPr="00CD4128" w:rsidTr="00CD4128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4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枫竹丹青供应</w:t>
            </w:r>
            <w:proofErr w:type="gramStart"/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商客户</w:t>
            </w:r>
            <w:proofErr w:type="gramEnd"/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容差组</w:t>
            </w:r>
          </w:p>
        </w:tc>
      </w:tr>
      <w:tr w:rsidR="00CD4128" w:rsidRPr="00CD4128" w:rsidTr="00CD4128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允许的支付差额</w:t>
            </w:r>
          </w:p>
        </w:tc>
      </w:tr>
      <w:tr w:rsidR="00CD4128" w:rsidRPr="00CD4128" w:rsidTr="00CD4128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收益(金额)</w:t>
            </w:r>
          </w:p>
        </w:tc>
        <w:tc>
          <w:tcPr>
            <w:tcW w:w="14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100.00</w:t>
            </w:r>
          </w:p>
        </w:tc>
      </w:tr>
      <w:tr w:rsidR="00CD4128" w:rsidRPr="00CD4128" w:rsidTr="00CD4128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收益(百分比)</w:t>
            </w:r>
          </w:p>
        </w:tc>
        <w:tc>
          <w:tcPr>
            <w:tcW w:w="14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5.0</w:t>
            </w:r>
          </w:p>
        </w:tc>
      </w:tr>
      <w:tr w:rsidR="00CD4128" w:rsidRPr="00CD4128" w:rsidTr="00CD4128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损失(金额)</w:t>
            </w:r>
          </w:p>
        </w:tc>
        <w:tc>
          <w:tcPr>
            <w:tcW w:w="14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5.0</w:t>
            </w:r>
          </w:p>
        </w:tc>
      </w:tr>
      <w:tr w:rsidR="00CD4128" w:rsidRPr="00CD4128" w:rsidTr="00CD4128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损失(百分比)</w:t>
            </w:r>
          </w:p>
        </w:tc>
        <w:tc>
          <w:tcPr>
            <w:tcW w:w="14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2.0</w:t>
            </w:r>
          </w:p>
        </w:tc>
      </w:tr>
      <w:tr w:rsidR="00CD4128" w:rsidRPr="00CD4128" w:rsidTr="00CD4128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支付差额的</w:t>
            </w:r>
            <w:proofErr w:type="gramStart"/>
            <w:r w:rsidRPr="00CD412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记帐</w:t>
            </w:r>
            <w:proofErr w:type="gramEnd"/>
            <w:r w:rsidRPr="00CD412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剩余项的说明</w:t>
            </w:r>
          </w:p>
        </w:tc>
      </w:tr>
      <w:tr w:rsidR="00CD4128" w:rsidRPr="00CD4128" w:rsidTr="00CD4128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固定的收付条件</w:t>
            </w:r>
          </w:p>
        </w:tc>
        <w:tc>
          <w:tcPr>
            <w:tcW w:w="14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0004</w:t>
            </w:r>
          </w:p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立即应付的净到期</w:t>
            </w:r>
          </w:p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结束月的基准日期</w:t>
            </w:r>
          </w:p>
        </w:tc>
      </w:tr>
      <w:tr w:rsidR="00CD4128" w:rsidRPr="00CD4128" w:rsidTr="00CD4128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只承提部分现金折扣</w:t>
            </w:r>
          </w:p>
        </w:tc>
        <w:tc>
          <w:tcPr>
            <w:tcW w:w="14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</w:tr>
    </w:tbl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lastRenderedPageBreak/>
        <w:t>表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D412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CD4128" w:rsidRPr="00CD4128" w:rsidTr="00CD4128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CD4128" w:rsidRPr="00CD4128" w:rsidTr="00CD4128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用户化实施指南→用户化实施指南→财务会计(新)→应收</w:t>
            </w:r>
            <w:proofErr w:type="gramStart"/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帐目</w:t>
            </w:r>
            <w:proofErr w:type="gramEnd"/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和应付</w:t>
            </w:r>
            <w:proofErr w:type="gramStart"/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帐目</w:t>
            </w:r>
            <w:proofErr w:type="gramEnd"/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→业务交易→未结清项目的结清→清算差异→定义客户/供应商的容差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D4128" w:rsidRPr="00CD4128" w:rsidRDefault="00CD4128" w:rsidP="00CD412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D412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OBA3</w:t>
            </w:r>
          </w:p>
        </w:tc>
      </w:tr>
    </w:tbl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CD4128" w:rsidRPr="00CD4128" w:rsidRDefault="00CD4128" w:rsidP="00CD412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CD4128" w:rsidRPr="00CD4128" w:rsidRDefault="00CD4128" w:rsidP="00CD412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OBA3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 xml:space="preserve">   </w:t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438525" cy="4629150"/>
            <wp:effectExtent l="0" t="0" r="9525" b="0"/>
            <wp:docPr id="10" name="图片 10" descr="定义应收应付容差组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应收应付容差组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219575" cy="3143250"/>
            <wp:effectExtent l="0" t="0" r="9525" b="0"/>
            <wp:docPr id="9" name="图片 9" descr="定义应收应付容差组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应收应付容差组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容差组总</w:t>
      </w:r>
      <w:proofErr w:type="gramStart"/>
      <w:r w:rsidRPr="00CD4128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是容差组总</w:t>
      </w:r>
      <w:proofErr w:type="gramStart"/>
      <w:r w:rsidRPr="00CD4128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CD4128">
        <w:rPr>
          <w:rFonts w:ascii="simsun" w:eastAsia="宋体" w:hAnsi="simsun" w:cs="宋体"/>
          <w:color w:val="494949"/>
          <w:kern w:val="0"/>
          <w:szCs w:val="21"/>
        </w:rPr>
        <w:t>，显示了目前的</w:t>
      </w:r>
      <w:proofErr w:type="gramStart"/>
      <w:r w:rsidRPr="00CD4128">
        <w:rPr>
          <w:rFonts w:ascii="simsun" w:eastAsia="宋体" w:hAnsi="simsun" w:cs="宋体"/>
          <w:color w:val="494949"/>
          <w:kern w:val="0"/>
          <w:szCs w:val="21"/>
        </w:rPr>
        <w:t>空差组</w:t>
      </w:r>
      <w:proofErr w:type="gramEnd"/>
      <w:r w:rsidRPr="00CD4128">
        <w:rPr>
          <w:rFonts w:ascii="simsun" w:eastAsia="宋体" w:hAnsi="simsun" w:cs="宋体"/>
          <w:color w:val="494949"/>
          <w:kern w:val="0"/>
          <w:szCs w:val="21"/>
        </w:rPr>
        <w:t>条目。点击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8" name="图片 8" descr="定义应收应付容差组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应收应付容差组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5419725"/>
            <wp:effectExtent l="0" t="0" r="0" b="9525"/>
            <wp:docPr id="7" name="图片 7" descr="定义应收应付容差组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应收应付容差组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新建条目细节</w:t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是新添条目细节维护界面，按表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的示例数据依次填入各条目数据。确认无误后，按保存键（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6" name="图片 6" descr="定义应收应付容差组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应收应付容差组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定义应收应付容差组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应收应付容差组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）继续。保存成功后，按返回键（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应收应付容差组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应收应付容差组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）至容差组总</w:t>
      </w:r>
      <w:proofErr w:type="gramStart"/>
      <w:r w:rsidRPr="00CD4128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CD4128">
        <w:rPr>
          <w:rFonts w:ascii="simsun" w:eastAsia="宋体" w:hAnsi="simsun" w:cs="宋体"/>
          <w:color w:val="494949"/>
          <w:kern w:val="0"/>
          <w:szCs w:val="21"/>
        </w:rPr>
        <w:t>界面，如图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定义应收应付容差组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应收应付容差组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2" name="图片 2" descr="定义应收应付容差组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应收应付容差组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81475" cy="3505200"/>
            <wp:effectExtent l="0" t="0" r="9525" b="0"/>
            <wp:docPr id="1" name="图片 1" descr="定义应收应付容差组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应收应付容差组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128" w:rsidRPr="00CD4128" w:rsidRDefault="00CD4128" w:rsidP="00CD412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D412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CD4128">
        <w:rPr>
          <w:rFonts w:ascii="simsun" w:eastAsia="宋体" w:hAnsi="simsun" w:cs="宋体"/>
          <w:color w:val="494949"/>
          <w:kern w:val="0"/>
          <w:szCs w:val="21"/>
        </w:rPr>
        <w:t>容差总</w:t>
      </w:r>
      <w:proofErr w:type="gramStart"/>
      <w:r w:rsidRPr="00CD4128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CD4128">
        <w:rPr>
          <w:rFonts w:ascii="simsun" w:eastAsia="宋体" w:hAnsi="simsun" w:cs="宋体"/>
          <w:color w:val="494949"/>
          <w:kern w:val="0"/>
          <w:szCs w:val="21"/>
        </w:rPr>
        <w:t>（新条目已在其中）</w:t>
      </w:r>
    </w:p>
    <w:p w:rsidR="00CC4FB1" w:rsidRPr="00CD4128" w:rsidRDefault="00CD4128">
      <w:pPr>
        <w:rPr>
          <w:rFonts w:hint="eastAsia"/>
        </w:rPr>
      </w:pPr>
    </w:p>
    <w:sectPr w:rsidR="00CC4FB1" w:rsidRPr="00CD4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61122"/>
    <w:multiLevelType w:val="multilevel"/>
    <w:tmpl w:val="FF6C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48"/>
    <w:rsid w:val="00471B48"/>
    <w:rsid w:val="006362C1"/>
    <w:rsid w:val="00CD4128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D41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D41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41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D412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D4128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CD4128"/>
    <w:rPr>
      <w:b/>
      <w:bCs/>
    </w:rPr>
  </w:style>
  <w:style w:type="paragraph" w:styleId="a5">
    <w:name w:val="Normal (Web)"/>
    <w:basedOn w:val="a"/>
    <w:uiPriority w:val="99"/>
    <w:unhideWhenUsed/>
    <w:rsid w:val="00CD41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D412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D41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D41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D41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41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D412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D4128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CD4128"/>
    <w:rPr>
      <w:b/>
      <w:bCs/>
    </w:rPr>
  </w:style>
  <w:style w:type="paragraph" w:styleId="a5">
    <w:name w:val="Normal (Web)"/>
    <w:basedOn w:val="a"/>
    <w:uiPriority w:val="99"/>
    <w:unhideWhenUsed/>
    <w:rsid w:val="00CD41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D412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D41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19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006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56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7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5ah&amp;url=http://s10.sinaimg.cn/orignal/4e997c67t71596487c999&amp;690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photo.blog.sina.com.cn/showpic.html#blogid=4e997c670100e5ah&amp;url=http://s5.sinaimg.cn/orignal/4e997c67t6bbe4cef3224&amp;690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hyperlink" Target="http://blog.sina.com.cn/s/blog_4e997c670100ejnd.html" TargetMode="External"/><Relationship Id="rId12" Type="http://schemas.openxmlformats.org/officeDocument/2006/relationships/hyperlink" Target="http://photo.blog.sina.com.cn/showpic.html#blogid=4e997c670100e5ah&amp;url=http://s6.sinaimg.cn/orignal/4e997c67t6bbe4fe5e615&amp;690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5ah&amp;url=http://s12.sinaimg.cn/orignal/4e997c67t6bbe4cef4c5b&amp;690" TargetMode="External"/><Relationship Id="rId20" Type="http://schemas.openxmlformats.org/officeDocument/2006/relationships/hyperlink" Target="http://photo.blog.sina.com.cn/showpic.html#blogid=4e997c670100e5ah&amp;url=http://s5.sinaimg.cn/orignal/4e997c67t6bbe4cdfd3e4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eeih.html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photo.blog.sina.com.cn/showpic.html#blogid=4e997c670100e5ah&amp;url=http://s3.sinaimg.cn/orignal/4e997c67t6d7defa604e2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10" Type="http://schemas.openxmlformats.org/officeDocument/2006/relationships/hyperlink" Target="http://photo.blog.sina.com.cn/showpic.html#blogid=4e997c670100e5ah&amp;url=http://s4.sinaimg.cn/orignal/4e997c67t6d7dedbd29f3&amp;690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photo.blog.sina.com.cn/showpic.html#blogid=4e997c670100e5ah&amp;url=http://s7.sinaimg.cn/orignal/4e997c67t715964a640f6&amp;690" TargetMode="External"/><Relationship Id="rId22" Type="http://schemas.openxmlformats.org/officeDocument/2006/relationships/hyperlink" Target="http://photo.blog.sina.com.cn/showpic.html#blogid=4e997c670100e5ah&amp;url=http://s15.sinaimg.cn/orignal/4e997c67t6d7deef78c9e&amp;69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2012-08-12T14:38:00Z</dcterms:created>
  <dcterms:modified xsi:type="dcterms:W3CDTF">2012-08-12T14:39:00Z</dcterms:modified>
</cp:coreProperties>
</file>