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DF" w:rsidRPr="001872DF" w:rsidRDefault="001872DF" w:rsidP="001872DF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1872DF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客户主数据</w:t>
      </w:r>
      <w:r w:rsidRPr="001872DF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_</w:t>
      </w:r>
      <w:r w:rsidRPr="001872DF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销售范围视图</w:t>
      </w:r>
    </w:p>
    <w:p w:rsidR="001872DF" w:rsidRPr="001872DF" w:rsidRDefault="001872DF" w:rsidP="001872DF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1872D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一．视图说明</w:t>
      </w:r>
    </w:p>
    <w:p w:rsidR="001872DF" w:rsidRPr="001872DF" w:rsidRDefault="001872DF" w:rsidP="001872D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72D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客户主数据的销售范围视图是为客户的销售业务操作服务的，对应的组织机构是销售范围，销售范围是销售组织、分销渠道、产品组的组合，详见《</w:t>
      </w:r>
      <w:hyperlink r:id="rId5" w:tgtFrame="_blank" w:history="1">
        <w:r w:rsidRPr="001872DF">
          <w:rPr>
            <w:rFonts w:ascii="simsun" w:eastAsia="宋体" w:hAnsi="simsun" w:cs="宋体"/>
            <w:color w:val="91266C"/>
            <w:kern w:val="0"/>
            <w:szCs w:val="21"/>
          </w:rPr>
          <w:t>定义销售范围</w:t>
        </w:r>
        <w:r w:rsidRPr="001872DF">
          <w:rPr>
            <w:rFonts w:ascii="simsun" w:eastAsia="宋体" w:hAnsi="simsun" w:cs="宋体"/>
            <w:color w:val="91266C"/>
            <w:kern w:val="0"/>
            <w:szCs w:val="21"/>
          </w:rPr>
          <w:t>(Sales Area)</w:t>
        </w:r>
      </w:hyperlink>
      <w:r w:rsidRPr="001872DF">
        <w:rPr>
          <w:rFonts w:ascii="simsun" w:eastAsia="宋体" w:hAnsi="simsun" w:cs="宋体"/>
          <w:color w:val="494949"/>
          <w:kern w:val="0"/>
          <w:szCs w:val="21"/>
        </w:rPr>
        <w:t>》。如果客户有销售行为（如售达方、送达方），则需维护销售范围视图。如果客户仅为结算服务，如收票方、付款方，则无需维护此视图。</w:t>
      </w:r>
    </w:p>
    <w:p w:rsidR="001872DF" w:rsidRPr="001872DF" w:rsidRDefault="001872DF" w:rsidP="001872D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72D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由于翻译问题界面上显示的是销售区域，其实对应的英文均为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Sales Area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1872DF" w:rsidRPr="001872DF" w:rsidRDefault="001872DF" w:rsidP="001872DF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1872D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二．界面说明</w:t>
      </w:r>
    </w:p>
    <w:p w:rsidR="001872DF" w:rsidRPr="001872DF" w:rsidRDefault="001872DF" w:rsidP="001872D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72D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销售范围视图常规使用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个选项页，分别是销售、发送、开票凭证、合伙人功能。更多子界面根据业务需要陆续加以说明。</w:t>
      </w:r>
    </w:p>
    <w:p w:rsidR="001872DF" w:rsidRPr="001872DF" w:rsidRDefault="001872DF" w:rsidP="001872D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76850" cy="4543425"/>
            <wp:effectExtent l="0" t="0" r="0" b="9525"/>
            <wp:docPr id="4" name="图片 4" descr="客户主数据_销售范围视图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客户主数据_销售范围视图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2DF">
        <w:rPr>
          <w:rFonts w:ascii="simsun" w:eastAsia="宋体" w:hAnsi="simsun" w:cs="宋体"/>
          <w:color w:val="494949"/>
          <w:kern w:val="0"/>
          <w:szCs w:val="21"/>
        </w:rPr>
        <w:br/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销售范围视图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_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销售</w:t>
      </w:r>
    </w:p>
    <w:p w:rsidR="001872DF" w:rsidRPr="001872DF" w:rsidRDefault="001872DF" w:rsidP="001872D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72DF">
        <w:rPr>
          <w:rFonts w:ascii="simsun" w:eastAsia="宋体" w:hAnsi="simsun" w:cs="宋体"/>
          <w:color w:val="494949"/>
          <w:kern w:val="0"/>
          <w:szCs w:val="21"/>
        </w:rPr>
        <w:t>    “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销售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选项页是与销售业务有关的数据，包括销售订单、定价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统计、代理业务等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个条目组。其中重要条目有：</w:t>
      </w:r>
    </w:p>
    <w:p w:rsidR="001872DF" w:rsidRPr="001872DF" w:rsidRDefault="001872DF" w:rsidP="001872D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72D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872DF">
        <w:rPr>
          <w:rFonts w:ascii="simsun" w:eastAsia="宋体" w:hAnsi="simsun" w:cs="宋体"/>
          <w:b/>
          <w:bCs/>
          <w:color w:val="494949"/>
          <w:kern w:val="0"/>
          <w:szCs w:val="21"/>
        </w:rPr>
        <w:t>销售地区：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一般配置为必输项，为运输业务服务，若无此业务可维护任一值。</w:t>
      </w:r>
    </w:p>
    <w:p w:rsidR="001872DF" w:rsidRPr="001872DF" w:rsidRDefault="001872DF" w:rsidP="001872D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72D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872DF">
        <w:rPr>
          <w:rFonts w:ascii="simsun" w:eastAsia="宋体" w:hAnsi="simsun" w:cs="宋体"/>
          <w:b/>
          <w:bCs/>
          <w:color w:val="494949"/>
          <w:kern w:val="0"/>
          <w:szCs w:val="21"/>
        </w:rPr>
        <w:t>客户定价过程：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与销售定价条件有关，与其它几个值的组合确定了销售订单的条件，详见《</w:t>
      </w:r>
      <w:hyperlink r:id="rId8" w:tgtFrame="_blank" w:history="1">
        <w:r w:rsidRPr="001872DF">
          <w:rPr>
            <w:rFonts w:ascii="simsun" w:eastAsia="宋体" w:hAnsi="simsun" w:cs="宋体"/>
            <w:color w:val="91266C"/>
            <w:kern w:val="0"/>
            <w:szCs w:val="21"/>
          </w:rPr>
          <w:t>分配定价过程</w:t>
        </w:r>
      </w:hyperlink>
      <w:r w:rsidRPr="001872DF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1872DF" w:rsidRPr="001872DF" w:rsidRDefault="001872DF" w:rsidP="001872D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72DF">
        <w:rPr>
          <w:rFonts w:ascii="Times New Roman" w:eastAsia="宋体" w:hAnsi="Times New Roman" w:cs="宋体" w:hint="eastAsia"/>
          <w:b/>
          <w:color w:val="494949"/>
          <w:kern w:val="0"/>
          <w:szCs w:val="21"/>
        </w:rPr>
        <w:t xml:space="preserve">    </w:t>
      </w:r>
      <w:r w:rsidRPr="001872DF">
        <w:rPr>
          <w:rFonts w:ascii="Times New Roman" w:eastAsia="宋体" w:hAnsi="Times New Roman" w:cs="宋体" w:hint="eastAsia"/>
          <w:b/>
          <w:color w:val="494949"/>
          <w:kern w:val="0"/>
          <w:szCs w:val="21"/>
        </w:rPr>
        <w:t>销售部门（</w:t>
      </w:r>
      <w:r w:rsidRPr="001872DF">
        <w:rPr>
          <w:rFonts w:ascii="simsun" w:eastAsia="宋体" w:hAnsi="simsun" w:cs="宋体"/>
          <w:b/>
          <w:color w:val="494949"/>
          <w:kern w:val="0"/>
          <w:szCs w:val="21"/>
        </w:rPr>
        <w:t>Sales office</w:t>
      </w:r>
      <w:r w:rsidRPr="001872DF">
        <w:rPr>
          <w:rFonts w:ascii="Times New Roman" w:eastAsia="宋体" w:hAnsi="Times New Roman" w:cs="宋体" w:hint="eastAsia"/>
          <w:b/>
          <w:color w:val="494949"/>
          <w:kern w:val="0"/>
          <w:szCs w:val="21"/>
        </w:rPr>
        <w:t>）：</w:t>
      </w:r>
      <w:r w:rsidRPr="001872DF">
        <w:rPr>
          <w:rFonts w:ascii="Times New Roman" w:eastAsia="宋体" w:hAnsi="Times New Roman" w:cs="宋体" w:hint="eastAsia"/>
          <w:color w:val="494949"/>
          <w:kern w:val="0"/>
          <w:szCs w:val="21"/>
        </w:rPr>
        <w:t>也称销售办公室，具有物理位置（例如分支办事处），定义参见《</w:t>
      </w:r>
      <w:hyperlink r:id="rId9" w:history="1">
        <w:r w:rsidRPr="001872DF">
          <w:rPr>
            <w:rFonts w:ascii="Times New Roman" w:eastAsia="宋体" w:hAnsi="Times New Roman" w:cs="宋体" w:hint="eastAsia"/>
            <w:color w:val="91266C"/>
            <w:kern w:val="0"/>
            <w:szCs w:val="21"/>
          </w:rPr>
          <w:t>定义销售办公室</w:t>
        </w:r>
        <w:r w:rsidRPr="001872DF">
          <w:rPr>
            <w:rFonts w:ascii="simsun" w:eastAsia="宋体" w:hAnsi="simsun" w:cs="宋体"/>
            <w:color w:val="91266C"/>
            <w:kern w:val="0"/>
            <w:szCs w:val="21"/>
          </w:rPr>
          <w:t>(Sales office)</w:t>
        </w:r>
      </w:hyperlink>
      <w:r w:rsidRPr="001872DF">
        <w:rPr>
          <w:rFonts w:ascii="Times New Roman" w:eastAsia="宋体" w:hAnsi="Times New Roman" w:cs="宋体" w:hint="eastAsia"/>
          <w:color w:val="494949"/>
          <w:kern w:val="0"/>
          <w:szCs w:val="21"/>
        </w:rPr>
        <w:t>》。</w:t>
      </w:r>
    </w:p>
    <w:p w:rsidR="001872DF" w:rsidRPr="001872DF" w:rsidRDefault="001872DF" w:rsidP="001872DF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72DF">
        <w:rPr>
          <w:rFonts w:ascii="Times New Roman" w:eastAsia="宋体" w:hAnsi="Times New Roman" w:cs="Times New Roman"/>
          <w:color w:val="494949"/>
          <w:szCs w:val="24"/>
        </w:rPr>
        <w:tab/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1872DF">
        <w:rPr>
          <w:rFonts w:ascii="Times New Roman" w:eastAsia="宋体" w:hAnsi="Times New Roman" w:cs="Times New Roman" w:hint="eastAsia"/>
          <w:b/>
          <w:color w:val="494949"/>
          <w:szCs w:val="24"/>
        </w:rPr>
        <w:t>销售组（</w:t>
      </w:r>
      <w:r w:rsidRPr="001872DF">
        <w:rPr>
          <w:rFonts w:ascii="Times New Roman" w:eastAsia="宋体" w:hAnsi="Times New Roman" w:cs="Times New Roman"/>
          <w:b/>
          <w:color w:val="494949"/>
          <w:szCs w:val="24"/>
        </w:rPr>
        <w:t>Sales group</w:t>
      </w:r>
      <w:r w:rsidRPr="001872DF">
        <w:rPr>
          <w:rFonts w:ascii="Times New Roman" w:eastAsia="宋体" w:hAnsi="Times New Roman" w:cs="Times New Roman" w:hint="eastAsia"/>
          <w:b/>
          <w:color w:val="494949"/>
          <w:szCs w:val="24"/>
        </w:rPr>
        <w:t>）：</w:t>
      </w:r>
      <w:r w:rsidRPr="001872DF">
        <w:rPr>
          <w:rFonts w:ascii="Times New Roman" w:eastAsia="宋体" w:hAnsi="Times New Roman" w:cs="Times New Roman" w:hint="eastAsia"/>
          <w:color w:val="494949"/>
          <w:szCs w:val="24"/>
        </w:rPr>
        <w:t>从属于销售办公室（</w:t>
      </w:r>
      <w:r w:rsidRPr="001872DF">
        <w:rPr>
          <w:rFonts w:ascii="Times New Roman" w:eastAsia="宋体" w:hAnsi="Times New Roman" w:cs="Times New Roman"/>
          <w:color w:val="494949"/>
          <w:szCs w:val="24"/>
        </w:rPr>
        <w:t>Sales office</w:t>
      </w:r>
      <w:r w:rsidRPr="001872DF">
        <w:rPr>
          <w:rFonts w:ascii="Times New Roman" w:eastAsia="宋体" w:hAnsi="Times New Roman" w:cs="Times New Roman" w:hint="eastAsia"/>
          <w:color w:val="494949"/>
          <w:szCs w:val="24"/>
        </w:rPr>
        <w:t>）之下，负责处理特定产品或服务的销售，定义参见《</w:t>
      </w:r>
      <w:hyperlink r:id="rId10" w:history="1">
        <w:r w:rsidRPr="001872DF">
          <w:rPr>
            <w:rFonts w:ascii="Times New Roman" w:eastAsia="宋体" w:hAnsi="Times New Roman" w:cs="Times New Roman" w:hint="eastAsia"/>
            <w:color w:val="91266C"/>
            <w:szCs w:val="24"/>
          </w:rPr>
          <w:t>定义销售组</w:t>
        </w:r>
        <w:r w:rsidRPr="001872DF">
          <w:rPr>
            <w:rFonts w:ascii="Times New Roman" w:eastAsia="宋体" w:hAnsi="Times New Roman" w:cs="Times New Roman"/>
            <w:color w:val="91266C"/>
            <w:szCs w:val="24"/>
          </w:rPr>
          <w:t>(Sales group)</w:t>
        </w:r>
      </w:hyperlink>
      <w:r w:rsidRPr="001872DF">
        <w:rPr>
          <w:rFonts w:ascii="Times New Roman" w:eastAsia="宋体" w:hAnsi="Times New Roman" w:cs="Times New Roman" w:hint="eastAsia"/>
          <w:color w:val="494949"/>
          <w:szCs w:val="24"/>
        </w:rPr>
        <w:t>》。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1872DF" w:rsidRPr="001872DF" w:rsidRDefault="001872DF" w:rsidP="001872D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72DF">
        <w:rPr>
          <w:rFonts w:ascii="Times New Roman" w:eastAsia="宋体" w:hAnsi="Times New Roman" w:cs="Times New Roman" w:hint="eastAsia"/>
          <w:b/>
          <w:bCs/>
          <w:color w:val="494949"/>
          <w:szCs w:val="24"/>
        </w:rPr>
        <w:lastRenderedPageBreak/>
        <w:t xml:space="preserve">    </w:t>
      </w:r>
      <w:r w:rsidRPr="001872DF">
        <w:rPr>
          <w:rFonts w:ascii="Times New Roman" w:eastAsia="宋体" w:hAnsi="Times New Roman" w:cs="Times New Roman" w:hint="eastAsia"/>
          <w:b/>
          <w:bCs/>
          <w:color w:val="494949"/>
          <w:szCs w:val="24"/>
        </w:rPr>
        <w:t>价格清单：</w:t>
      </w:r>
      <w:r w:rsidRPr="001872DF">
        <w:rPr>
          <w:rFonts w:ascii="Times New Roman" w:eastAsia="宋体" w:hAnsi="Times New Roman" w:cs="Times New Roman" w:hint="eastAsia"/>
          <w:color w:val="494949"/>
          <w:szCs w:val="24"/>
        </w:rPr>
        <w:t>与销售定价分类有关，系统默认有两个值：</w:t>
      </w:r>
      <w:r w:rsidRPr="001872DF">
        <w:rPr>
          <w:rFonts w:ascii="Times New Roman" w:eastAsia="宋体" w:hAnsi="Times New Roman" w:cs="Times New Roman"/>
          <w:color w:val="494949"/>
          <w:szCs w:val="24"/>
        </w:rPr>
        <w:t>01</w:t>
      </w:r>
      <w:r w:rsidRPr="001872DF">
        <w:rPr>
          <w:rFonts w:ascii="Times New Roman" w:eastAsia="宋体" w:hAnsi="Times New Roman" w:cs="Times New Roman" w:hint="eastAsia"/>
          <w:color w:val="494949"/>
          <w:szCs w:val="24"/>
        </w:rPr>
        <w:t>批发、</w:t>
      </w:r>
      <w:r w:rsidRPr="001872DF">
        <w:rPr>
          <w:rFonts w:ascii="Times New Roman" w:eastAsia="宋体" w:hAnsi="Times New Roman" w:cs="Times New Roman"/>
          <w:color w:val="494949"/>
          <w:szCs w:val="24"/>
        </w:rPr>
        <w:t>02</w:t>
      </w:r>
      <w:r w:rsidRPr="001872DF">
        <w:rPr>
          <w:rFonts w:ascii="Times New Roman" w:eastAsia="宋体" w:hAnsi="Times New Roman" w:cs="Times New Roman" w:hint="eastAsia"/>
          <w:color w:val="494949"/>
          <w:szCs w:val="24"/>
        </w:rPr>
        <w:t>零售，常用于维护销售条件（如</w:t>
      </w:r>
      <w:r w:rsidRPr="001872DF">
        <w:rPr>
          <w:rFonts w:ascii="Times New Roman" w:eastAsia="宋体" w:hAnsi="Times New Roman" w:cs="Times New Roman"/>
          <w:color w:val="494949"/>
          <w:szCs w:val="24"/>
        </w:rPr>
        <w:t>PR00</w:t>
      </w:r>
      <w:r w:rsidRPr="001872DF">
        <w:rPr>
          <w:rFonts w:ascii="Times New Roman" w:eastAsia="宋体" w:hAnsi="Times New Roman" w:cs="Times New Roman" w:hint="eastAsia"/>
          <w:color w:val="494949"/>
          <w:szCs w:val="24"/>
        </w:rPr>
        <w:t>），参见《</w:t>
      </w:r>
      <w:hyperlink r:id="rId11" w:tgtFrame="_blank" w:history="1">
        <w:r w:rsidRPr="001872DF">
          <w:rPr>
            <w:rFonts w:ascii="Times New Roman" w:eastAsia="宋体" w:hAnsi="Times New Roman" w:cs="Times New Roman" w:hint="eastAsia"/>
            <w:color w:val="91266C"/>
            <w:szCs w:val="24"/>
          </w:rPr>
          <w:t>维护销售条件</w:t>
        </w:r>
        <w:r w:rsidRPr="001872DF">
          <w:rPr>
            <w:rFonts w:ascii="Times New Roman" w:eastAsia="宋体" w:hAnsi="Times New Roman" w:cs="Times New Roman"/>
            <w:color w:val="91266C"/>
            <w:szCs w:val="24"/>
          </w:rPr>
          <w:t>_</w:t>
        </w:r>
        <w:r w:rsidRPr="001872DF">
          <w:rPr>
            <w:rFonts w:ascii="Times New Roman" w:eastAsia="宋体" w:hAnsi="Times New Roman" w:cs="Times New Roman"/>
            <w:color w:val="91266C"/>
            <w:szCs w:val="24"/>
          </w:rPr>
          <w:t>净价</w:t>
        </w:r>
        <w:r w:rsidRPr="001872DF">
          <w:rPr>
            <w:rFonts w:ascii="Times New Roman" w:eastAsia="宋体" w:hAnsi="Times New Roman" w:cs="Times New Roman"/>
            <w:color w:val="91266C"/>
            <w:szCs w:val="24"/>
          </w:rPr>
          <w:t>(PR00)</w:t>
        </w:r>
      </w:hyperlink>
      <w:r w:rsidRPr="001872DF">
        <w:rPr>
          <w:rFonts w:ascii="Times New Roman" w:eastAsia="宋体" w:hAnsi="Times New Roman" w:cs="Times New Roman" w:hint="eastAsia"/>
          <w:color w:val="494949"/>
          <w:szCs w:val="24"/>
        </w:rPr>
        <w:t>》。</w:t>
      </w:r>
    </w:p>
    <w:p w:rsidR="001872DF" w:rsidRPr="001872DF" w:rsidRDefault="001872DF" w:rsidP="001872D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76850" cy="5124450"/>
            <wp:effectExtent l="0" t="0" r="0" b="0"/>
            <wp:docPr id="3" name="图片 3" descr="客户主数据_销售范围视图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客户主数据_销售范围视图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2DF" w:rsidRPr="001872DF" w:rsidRDefault="001872DF" w:rsidP="001872D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872D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销售范围视图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_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发送</w:t>
      </w:r>
    </w:p>
    <w:p w:rsidR="001872DF" w:rsidRPr="001872DF" w:rsidRDefault="001872DF" w:rsidP="001872D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72DF">
        <w:rPr>
          <w:rFonts w:ascii="simsun" w:eastAsia="宋体" w:hAnsi="simsun" w:cs="宋体"/>
          <w:color w:val="494949"/>
          <w:kern w:val="0"/>
          <w:szCs w:val="21"/>
        </w:rPr>
        <w:t>    “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发送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选项页用于外向交货相关数据，包括装运、部分交货、一般运输数据等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个条目组。重要条目有：</w:t>
      </w:r>
    </w:p>
    <w:p w:rsidR="001872DF" w:rsidRPr="001872DF" w:rsidRDefault="001872DF" w:rsidP="001872D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72DF">
        <w:rPr>
          <w:rFonts w:ascii="simsun" w:eastAsia="宋体" w:hAnsi="simsun" w:cs="宋体"/>
          <w:b/>
          <w:bCs/>
          <w:color w:val="494949"/>
          <w:kern w:val="0"/>
          <w:szCs w:val="21"/>
        </w:rPr>
        <w:t>装运条件：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系统默认值有两个：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01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标准、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02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拣配，它与其它几个数据确定了销售订单中装运点的取值，详见《</w:t>
      </w:r>
      <w:hyperlink r:id="rId14" w:tgtFrame="_blank" w:history="1">
        <w:r w:rsidRPr="001872DF">
          <w:rPr>
            <w:rFonts w:ascii="simsun" w:eastAsia="宋体" w:hAnsi="simsun" w:cs="宋体"/>
            <w:color w:val="91266C"/>
            <w:kern w:val="0"/>
            <w:szCs w:val="21"/>
          </w:rPr>
          <w:t>维护装运点确认</w:t>
        </w:r>
      </w:hyperlink>
      <w:r w:rsidRPr="001872DF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1872DF" w:rsidRPr="001872DF" w:rsidRDefault="001872DF" w:rsidP="001872D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76850" cy="5229225"/>
            <wp:effectExtent l="0" t="0" r="0" b="9525"/>
            <wp:docPr id="2" name="图片 2" descr="客户主数据_销售范围视图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客户主数据_销售范围视图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2DF" w:rsidRPr="001872DF" w:rsidRDefault="001872DF" w:rsidP="001872D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872D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销售范围视图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_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开票凭证</w:t>
      </w:r>
    </w:p>
    <w:p w:rsidR="001872DF" w:rsidRPr="001872DF" w:rsidRDefault="001872DF" w:rsidP="001872D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72DF">
        <w:rPr>
          <w:rFonts w:ascii="simsun" w:eastAsia="宋体" w:hAnsi="simsun" w:cs="宋体"/>
          <w:color w:val="494949"/>
          <w:kern w:val="0"/>
          <w:szCs w:val="21"/>
        </w:rPr>
        <w:t>    “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开票凭证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选项页用于开据发票相关数据，包括开票凭证、交货和付款条款、会计、税收等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个条目组。其中重要条目有：</w:t>
      </w:r>
    </w:p>
    <w:p w:rsidR="001872DF" w:rsidRPr="001872DF" w:rsidRDefault="001872DF" w:rsidP="001872D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72D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872DF">
        <w:rPr>
          <w:rFonts w:ascii="simsun" w:eastAsia="宋体" w:hAnsi="simsun" w:cs="宋体"/>
          <w:b/>
          <w:bCs/>
          <w:color w:val="494949"/>
          <w:kern w:val="0"/>
          <w:szCs w:val="21"/>
        </w:rPr>
        <w:t>国际贸易条款：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包括选择值和描述，如未维护则开发票时需手工修正；</w:t>
      </w:r>
    </w:p>
    <w:p w:rsidR="001872DF" w:rsidRPr="001872DF" w:rsidRDefault="001872DF" w:rsidP="001872D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72D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872DF">
        <w:rPr>
          <w:rFonts w:ascii="simsun" w:eastAsia="宋体" w:hAnsi="simsun" w:cs="宋体"/>
          <w:b/>
          <w:bCs/>
          <w:color w:val="494949"/>
          <w:kern w:val="0"/>
          <w:szCs w:val="21"/>
        </w:rPr>
        <w:t>付款条件：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用于付款的优惠和约束条件，如未维护则开发票时需手工修改；</w:t>
      </w:r>
    </w:p>
    <w:p w:rsidR="001872DF" w:rsidRPr="001872DF" w:rsidRDefault="001872DF" w:rsidP="001872D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72D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872DF">
        <w:rPr>
          <w:rFonts w:ascii="simsun" w:eastAsia="宋体" w:hAnsi="simsun" w:cs="宋体"/>
          <w:b/>
          <w:bCs/>
          <w:color w:val="494949"/>
          <w:kern w:val="0"/>
          <w:szCs w:val="21"/>
        </w:rPr>
        <w:t>帐户分配组：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系统默认值有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个：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01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国内收入、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02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国外收入、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03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附属公司收入，它与其它几个值的组合确定了销售收入的总帐科目，详见《</w:t>
      </w:r>
      <w:hyperlink r:id="rId17" w:tgtFrame="_blank" w:history="1">
        <w:r w:rsidRPr="001872DF">
          <w:rPr>
            <w:rFonts w:ascii="simsun" w:eastAsia="宋体" w:hAnsi="simsun" w:cs="宋体"/>
            <w:color w:val="91266C"/>
            <w:kern w:val="0"/>
            <w:szCs w:val="21"/>
          </w:rPr>
          <w:t>设定销售收入科目</w:t>
        </w:r>
      </w:hyperlink>
      <w:r w:rsidRPr="001872DF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1872DF" w:rsidRPr="001872DF" w:rsidRDefault="001872DF" w:rsidP="001872D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72DF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1872DF">
        <w:rPr>
          <w:rFonts w:ascii="simsun" w:eastAsia="宋体" w:hAnsi="simsun" w:cs="宋体"/>
          <w:b/>
          <w:bCs/>
          <w:color w:val="494949"/>
          <w:kern w:val="0"/>
          <w:szCs w:val="21"/>
        </w:rPr>
        <w:t>税分类：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用于销售有关税务的数据，与其它数据组合确定税率，应用详见《</w:t>
      </w:r>
      <w:hyperlink r:id="rId18" w:tgtFrame="_blank" w:history="1">
        <w:r w:rsidRPr="001872DF">
          <w:rPr>
            <w:rFonts w:ascii="simsun" w:eastAsia="宋体" w:hAnsi="simsun" w:cs="宋体"/>
            <w:color w:val="91266C"/>
            <w:kern w:val="0"/>
            <w:szCs w:val="21"/>
          </w:rPr>
          <w:t>维护销售条件</w:t>
        </w:r>
        <w:r w:rsidRPr="001872DF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1872DF">
          <w:rPr>
            <w:rFonts w:ascii="simsun" w:eastAsia="宋体" w:hAnsi="simsun" w:cs="宋体"/>
            <w:color w:val="91266C"/>
            <w:kern w:val="0"/>
            <w:szCs w:val="21"/>
          </w:rPr>
          <w:t>销项税</w:t>
        </w:r>
        <w:r w:rsidRPr="001872DF">
          <w:rPr>
            <w:rFonts w:ascii="simsun" w:eastAsia="宋体" w:hAnsi="simsun" w:cs="宋体"/>
            <w:color w:val="91266C"/>
            <w:kern w:val="0"/>
            <w:szCs w:val="21"/>
          </w:rPr>
          <w:t>(MWST)</w:t>
        </w:r>
      </w:hyperlink>
      <w:r w:rsidRPr="001872DF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1872DF" w:rsidRPr="001872DF" w:rsidRDefault="001872DF" w:rsidP="001872D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3324225"/>
            <wp:effectExtent l="0" t="0" r="0" b="9525"/>
            <wp:docPr id="1" name="图片 1" descr="客户主数据_销售范围视图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客户主数据_销售范围视图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2DF" w:rsidRPr="001872DF" w:rsidRDefault="001872DF" w:rsidP="001872D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872D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销售范围视图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_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合伙人功能</w:t>
      </w:r>
    </w:p>
    <w:p w:rsidR="001872DF" w:rsidRPr="001872DF" w:rsidRDefault="001872DF" w:rsidP="001872D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872DF">
        <w:rPr>
          <w:rFonts w:ascii="simsun" w:eastAsia="宋体" w:hAnsi="simsun" w:cs="宋体"/>
          <w:color w:val="494949"/>
          <w:kern w:val="0"/>
          <w:szCs w:val="21"/>
        </w:rPr>
        <w:t>    “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合伙人功能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1872DF">
        <w:rPr>
          <w:rFonts w:ascii="simsun" w:eastAsia="宋体" w:hAnsi="simsun" w:cs="宋体"/>
          <w:color w:val="494949"/>
          <w:kern w:val="0"/>
          <w:szCs w:val="21"/>
        </w:rPr>
        <w:t>选项页中的各条目值是系统根据后台配置自动带出，灰色不能修改的条目是本客户，当各合伙方与本客户不同时需手工维护修改。</w:t>
      </w:r>
    </w:p>
    <w:p w:rsidR="00CC4FB1" w:rsidRPr="001872DF" w:rsidRDefault="001872DF">
      <w:pPr>
        <w:rPr>
          <w:rFonts w:hint="eastAsia"/>
        </w:rPr>
      </w:pPr>
      <w:bookmarkStart w:id="0" w:name="_GoBack"/>
      <w:bookmarkEnd w:id="0"/>
    </w:p>
    <w:sectPr w:rsidR="00CC4FB1" w:rsidRPr="00187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377"/>
    <w:rsid w:val="001872DF"/>
    <w:rsid w:val="006362C1"/>
    <w:rsid w:val="00E81377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872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72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72D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872D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872DF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1872DF"/>
    <w:rPr>
      <w:b/>
      <w:bCs/>
    </w:rPr>
  </w:style>
  <w:style w:type="paragraph" w:styleId="a5">
    <w:name w:val="Normal (Web)"/>
    <w:basedOn w:val="a"/>
    <w:uiPriority w:val="99"/>
    <w:semiHidden/>
    <w:unhideWhenUsed/>
    <w:rsid w:val="001872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1872D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872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872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72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72D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872D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872DF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1872DF"/>
    <w:rPr>
      <w:b/>
      <w:bCs/>
    </w:rPr>
  </w:style>
  <w:style w:type="paragraph" w:styleId="a5">
    <w:name w:val="Normal (Web)"/>
    <w:basedOn w:val="a"/>
    <w:uiPriority w:val="99"/>
    <w:semiHidden/>
    <w:unhideWhenUsed/>
    <w:rsid w:val="001872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1872D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872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0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897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78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2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8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93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4e997c670100e9ab.html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blog.sina.com.cn/s/blog_4e997c670100elnu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ejnf&amp;url=http://s12.sinaimg.cn/orignal/4e997c67g757d90b9393b" TargetMode="External"/><Relationship Id="rId17" Type="http://schemas.openxmlformats.org/officeDocument/2006/relationships/hyperlink" Target="http://blog.sina.com.cn/s/blog_4e997c670100eia0.html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3.jpeg"/><Relationship Id="rId20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4e997c670100ejnf&amp;url=http://s15.sinaimg.cn/orignal/4e997c67g757d90b793be" TargetMode="External"/><Relationship Id="rId11" Type="http://schemas.openxmlformats.org/officeDocument/2006/relationships/hyperlink" Target="http://blog.sina.com.cn/s/blog_4e997c670100eo2d.html" TargetMode="External"/><Relationship Id="rId5" Type="http://schemas.openxmlformats.org/officeDocument/2006/relationships/hyperlink" Target="http://blog.sina.com.cn/s/blog_4e997c670100e7x2.html" TargetMode="External"/><Relationship Id="rId15" Type="http://schemas.openxmlformats.org/officeDocument/2006/relationships/hyperlink" Target="http://photo.blog.sina.com.cn/showpic.html#blogid=4e997c670100ejnf&amp;url=http://s11.sinaimg.cn/orignal/4e997c67g757d90baa9fa" TargetMode="External"/><Relationship Id="rId10" Type="http://schemas.openxmlformats.org/officeDocument/2006/relationships/hyperlink" Target="http://blog.sina.com.cn/s/blog_4e997c6701012bgo.html" TargetMode="External"/><Relationship Id="rId19" Type="http://schemas.openxmlformats.org/officeDocument/2006/relationships/hyperlink" Target="http://photo.blog.sina.com.cn/showpic.html#blogid=4e997c670100ejnf&amp;url=http://s8.sinaimg.cn/orignal/4e997c67tb98cf302e90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sina.com.cn/s/blog_4e997c6701012asv.html" TargetMode="External"/><Relationship Id="rId14" Type="http://schemas.openxmlformats.org/officeDocument/2006/relationships/hyperlink" Target="http://blog.sina.com.cn/s/blog_4e997c670100e7xa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2012-08-12T12:47:00Z</dcterms:created>
  <dcterms:modified xsi:type="dcterms:W3CDTF">2012-08-12T12:47:00Z</dcterms:modified>
</cp:coreProperties>
</file>