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F6D3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显示应付</w:t>
      </w:r>
      <w:proofErr w:type="gramStart"/>
      <w:r w:rsidRPr="00BF6D3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帐款</w:t>
      </w:r>
      <w:proofErr w:type="gramEnd"/>
      <w:r w:rsidRPr="00BF6D3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余额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BF6D3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BF6D3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显示对供应商的应付余额，是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模块应付</w:t>
      </w:r>
      <w:proofErr w:type="gramStart"/>
      <w:r w:rsidRPr="00BF6D33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BF6D33">
        <w:rPr>
          <w:rFonts w:ascii="simsun" w:eastAsia="宋体" w:hAnsi="simsun" w:cs="宋体"/>
          <w:color w:val="494949"/>
          <w:kern w:val="0"/>
          <w:szCs w:val="21"/>
        </w:rPr>
        <w:t>部分中重要的一个操作。它可以查看公司对供应商的未付款的总额及明细，可以查看产生应付</w:t>
      </w:r>
      <w:proofErr w:type="gramStart"/>
      <w:r w:rsidRPr="00BF6D33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BF6D33">
        <w:rPr>
          <w:rFonts w:ascii="simsun" w:eastAsia="宋体" w:hAnsi="simsun" w:cs="宋体"/>
          <w:color w:val="494949"/>
          <w:kern w:val="0"/>
          <w:szCs w:val="21"/>
        </w:rPr>
        <w:t>的单据来源，可以有效跟踪当前的业务状况，为向供应商付款提供重要的依据。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产生应付</w:t>
      </w:r>
      <w:proofErr w:type="gramStart"/>
      <w:r w:rsidRPr="00BF6D33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BF6D33">
        <w:rPr>
          <w:rFonts w:ascii="simsun" w:eastAsia="宋体" w:hAnsi="simsun" w:cs="宋体"/>
          <w:color w:val="494949"/>
          <w:kern w:val="0"/>
          <w:szCs w:val="21"/>
        </w:rPr>
        <w:t>的单据有多种，主要有完成采购流程后的发票校验（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）、直接对供应商发票校验（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FB60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）等。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F6D3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FK10N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显示的路径执行，进入图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3248025"/>
            <wp:effectExtent l="0" t="0" r="9525" b="9525"/>
            <wp:docPr id="9" name="图片 9" descr="显示应付帐款余额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应付帐款余额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76850" cy="1724025"/>
            <wp:effectExtent l="0" t="0" r="0" b="9525"/>
            <wp:docPr id="8" name="图片 8" descr="显示应付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显示应付帐款余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是查询的初始屏幕，输入供应商、公司代码、会计年度。其中供应商、公司代码可以通过右边的多项选择键（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09550" cy="219075"/>
            <wp:effectExtent l="0" t="0" r="0" b="9525"/>
            <wp:docPr id="7" name="图片 7" descr="显示应付帐款余额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显示应付帐款余额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）选择多个条目。输入正确后按运行按钮（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显示应付帐款余额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显示应付帐款余额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）进行查询。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00575" cy="6429375"/>
            <wp:effectExtent l="0" t="0" r="9525" b="9525"/>
            <wp:docPr id="5" name="图片 5" descr="显示应付帐款余额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显示应付帐款余额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供应商本年度的余额表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显示了公司对供应商的每月的未清金额，包括借项和</w:t>
      </w:r>
      <w:proofErr w:type="gramStart"/>
      <w:r w:rsidRPr="00BF6D33">
        <w:rPr>
          <w:rFonts w:ascii="simsun" w:eastAsia="宋体" w:hAnsi="simsun" w:cs="宋体"/>
          <w:color w:val="494949"/>
          <w:kern w:val="0"/>
          <w:szCs w:val="21"/>
        </w:rPr>
        <w:t>贷项</w:t>
      </w:r>
      <w:proofErr w:type="gramEnd"/>
      <w:r w:rsidRPr="00BF6D33">
        <w:rPr>
          <w:rFonts w:ascii="simsun" w:eastAsia="宋体" w:hAnsi="simsun" w:cs="宋体"/>
          <w:color w:val="494949"/>
          <w:kern w:val="0"/>
          <w:szCs w:val="21"/>
        </w:rPr>
        <w:t>，其中贷方表示应付款项。注意最后的总计余额，这是对此供应商的应付款总数。期间共有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16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个，其中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是每年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个自然月，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16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个特殊期间（详见《</w:t>
      </w:r>
      <w:hyperlink r:id="rId14" w:tgtFrame="_blank" w:history="1">
        <w:r w:rsidRPr="00BF6D33">
          <w:rPr>
            <w:rFonts w:ascii="simsun" w:eastAsia="宋体" w:hAnsi="simsun" w:cs="宋体"/>
            <w:color w:val="91266C"/>
            <w:kern w:val="0"/>
            <w:szCs w:val="21"/>
          </w:rPr>
          <w:t>给公司代码分配会计年度变式</w:t>
        </w:r>
        <w:r w:rsidRPr="00BF6D33">
          <w:rPr>
            <w:rFonts w:ascii="simsun" w:eastAsia="宋体" w:hAnsi="simsun" w:cs="宋体"/>
            <w:color w:val="91266C"/>
            <w:kern w:val="0"/>
            <w:szCs w:val="21"/>
          </w:rPr>
          <w:t>(Fiscal Year Variant)</w:t>
        </w:r>
        <w:r w:rsidRPr="00BF6D33">
          <w:rPr>
            <w:rFonts w:ascii="simsun" w:eastAsia="宋体" w:hAnsi="simsun" w:cs="宋体"/>
            <w:color w:val="91266C"/>
            <w:kern w:val="0"/>
            <w:szCs w:val="21"/>
          </w:rPr>
          <w:t>》</w:t>
        </w:r>
      </w:hyperlink>
      <w:r w:rsidRPr="00BF6D33">
        <w:rPr>
          <w:rFonts w:ascii="simsun" w:eastAsia="宋体" w:hAnsi="simsun" w:cs="宋体"/>
          <w:color w:val="494949"/>
          <w:kern w:val="0"/>
          <w:szCs w:val="21"/>
        </w:rPr>
        <w:t>）。鼠标双击第一个月的条目，进入图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3981450"/>
            <wp:effectExtent l="0" t="0" r="9525" b="0"/>
            <wp:docPr id="4" name="图片 4" descr="显示应付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显示应付帐款余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供应商行项目总</w:t>
      </w:r>
      <w:proofErr w:type="gramStart"/>
      <w:r w:rsidRPr="00BF6D33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BF6D33">
        <w:rPr>
          <w:rFonts w:ascii="simsun" w:eastAsia="宋体" w:hAnsi="simsun" w:cs="宋体"/>
          <w:color w:val="494949"/>
          <w:kern w:val="0"/>
          <w:szCs w:val="21"/>
        </w:rPr>
        <w:t>（指定月份）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显示指定月份的未清项凭证清单，可以看到未清的凭证编号，鼠标双击编号进入图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571875"/>
            <wp:effectExtent l="0" t="0" r="9525" b="9525"/>
            <wp:docPr id="3" name="图片 3" descr="显示应付帐款余额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显示应付帐款余额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供应商行项目明细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显示指定的行项目的明细，可以看到更详细的信息。用鼠标点击查看凭证抬头按钮（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显示应付帐款余额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显示应付帐款余额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），弹出对话框如图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76850" cy="3429000"/>
            <wp:effectExtent l="0" t="0" r="0" b="0"/>
            <wp:docPr id="1" name="图片 1" descr="显示应付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显示应付帐款余额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抬头信息对话框</w:t>
      </w:r>
    </w:p>
    <w:p w:rsidR="00BF6D33" w:rsidRPr="00BF6D33" w:rsidRDefault="00BF6D33" w:rsidP="00BF6D3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3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是抬头信息对话框，可以看到此凭证是用事物码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BF6D33">
        <w:rPr>
          <w:rFonts w:ascii="simsun" w:eastAsia="宋体" w:hAnsi="simsun" w:cs="宋体"/>
          <w:color w:val="494949"/>
          <w:kern w:val="0"/>
          <w:szCs w:val="21"/>
        </w:rPr>
        <w:t>（发票校验）产生的，此界面的更详细内容参见《</w:t>
      </w:r>
      <w:hyperlink r:id="rId21" w:tgtFrame="_blank" w:history="1">
        <w:r w:rsidRPr="00BF6D33">
          <w:rPr>
            <w:rFonts w:ascii="simsun" w:eastAsia="宋体" w:hAnsi="simsun" w:cs="宋体"/>
            <w:color w:val="91266C"/>
            <w:kern w:val="0"/>
            <w:szCs w:val="21"/>
          </w:rPr>
          <w:t>查看会计凭证</w:t>
        </w:r>
      </w:hyperlink>
      <w:r w:rsidRPr="00BF6D33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4FB1" w:rsidRPr="00BF6D33" w:rsidRDefault="00BF6D33">
      <w:pPr>
        <w:rPr>
          <w:rFonts w:hint="eastAsia"/>
        </w:rPr>
      </w:pPr>
      <w:bookmarkStart w:id="0" w:name="_GoBack"/>
      <w:bookmarkEnd w:id="0"/>
    </w:p>
    <w:sectPr w:rsidR="00CC4FB1" w:rsidRPr="00BF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D3"/>
    <w:rsid w:val="006362C1"/>
    <w:rsid w:val="00BF6D33"/>
    <w:rsid w:val="00CA5AD3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6D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D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6D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D3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F6D33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F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6D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6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6D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D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6D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D3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F6D33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F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6D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6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8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18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8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gpre&amp;url=http://s5.sinaimg.cn/orignal/4e997c67g7ca7b8179774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hoto.blog.sina.com.cn/showpic.html#blogid=4e997c670100gpre&amp;url=http://s15.sinaimg.cn/orignal/4e997c67g7ca7b7da90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4e997c670100f2yq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4e997c670100gpre&amp;url=http://s10.sinaimg.cn/orignal/4e997c67g7ca7b044d869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gpre&amp;url=http://s15.sinaimg.cn/orignal/4e997c67g7ca7b297a57e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hoto.blog.sina.com.cn/showpic.html#blogid=4e997c670100gpre&amp;url=http://s13.sinaimg.cn/orignal/4e997c67g7ca7ae0175cc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gpre&amp;url=http://s5.sinaimg.cn/orignal/4e997c67t71f70971ee84&amp;69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og.sina.com.cn/s/blog_4e997c670100dvvq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2012-08-12T15:58:00Z</dcterms:created>
  <dcterms:modified xsi:type="dcterms:W3CDTF">2012-08-12T15:59:00Z</dcterms:modified>
</cp:coreProperties>
</file>