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65FB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物料主数据</w:t>
      </w:r>
      <w:r w:rsidRPr="00B65FB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B65FB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销售视图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65FB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一．视图说明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中，如果物料需要销售，则需要维护物料主数据的销售视图。不是所有类型的物料都需要销售，所以有些类型（如原材料）就无销售相关视图可以维护。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5048250"/>
            <wp:effectExtent l="0" t="0" r="0" b="0"/>
            <wp:docPr id="9" name="图片 9" descr="物料主数据_销售视图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料主数据_销售视图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选择视图对话框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1800225"/>
            <wp:effectExtent l="0" t="0" r="9525" b="9525"/>
            <wp:docPr id="8" name="图片 8" descr="物料主数据_销售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物料主数据_销售视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组织级别维护对话框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销售视图的维护需指定两种组织机构：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的组合；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工厂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。其中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对应的是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两个标签页界面，主要是面向客户的数据，如销项税、定价、记帐科目设置等；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工厂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对应的是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销售：一般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工厂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标签页界面，主要是后勤操作数据，如运输组、装载组等。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的组合在后台配置，参见《</w:t>
      </w:r>
      <w:hyperlink r:id="rId9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给销售组织分配销售渠道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在销售相关的三个标签页面中，除指定组织机构的数据外，还有无组织机构的数据，三个标签页面上均含有。如果在图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界面上不输入组织机构，维护界面如图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所示。如果在图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界面输入组织机构，维护界面则如图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所示。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工厂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组合是不关联的两组数据，在图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界面可以只选工厂或销售组织的条目，在图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的界面上可以只输入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工厂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或是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组合。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1524000"/>
            <wp:effectExtent l="0" t="0" r="9525" b="0"/>
            <wp:docPr id="7" name="图片 7" descr="物料主数据_销售视图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物料主数据_销售视图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（无组织机构）界面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1181100"/>
            <wp:effectExtent l="0" t="0" r="9525" b="0"/>
            <wp:docPr id="6" name="图片 6" descr="物料主数据_销售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物料主数据_销售视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（无组织机构）界面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638550"/>
            <wp:effectExtent l="0" t="0" r="9525" b="0"/>
            <wp:docPr id="5" name="图片 5" descr="物料主数据_销售视图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物料主数据_销售视图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销售：一般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工厂（无组织机构）界面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905250"/>
            <wp:effectExtent l="0" t="0" r="9525" b="0"/>
            <wp:docPr id="4" name="图片 4" descr="物料主数据_销售视图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物料主数据_销售视图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1219200"/>
            <wp:effectExtent l="0" t="0" r="0" b="0"/>
            <wp:docPr id="3" name="图片 3" descr="物料主数据_销售视图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物料主数据_销售视图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（指定销售组织、分销渠道）界面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381375"/>
            <wp:effectExtent l="0" t="0" r="9525" b="9525"/>
            <wp:docPr id="2" name="图片 2" descr="物料主数据_销售视图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物料主数据_销售视图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销售：销售组织数据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（指定销售组织、分销渠道）界面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4200525"/>
            <wp:effectExtent l="0" t="0" r="9525" b="9525"/>
            <wp:docPr id="1" name="图片 1" descr="物料主数据_销售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物料主数据_销售视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销售：一般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工厂（指定工厂）界面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65FB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界面如图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所示，各字段信息如下：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基本计量单位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：无组织机构数据，在基本数据视图中有维护。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销售单位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：指定销售组织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-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分销渠道数据，要求与基本计量单位不同值。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物料组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：无组织机构数据，用于物料统计，在基本数据视图中也有维护位置，详见《</w:t>
      </w:r>
      <w:hyperlink r:id="rId22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定义物料组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产品组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：无组织机构数据，用于物料销售，在基本数据视图中也有维护位置，详见《</w:t>
      </w:r>
      <w:hyperlink r:id="rId23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定义产品组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》，此值可不维护；如维护则与销售组织、分销渠道、产品组形成销售范围（详见《</w:t>
      </w:r>
      <w:hyperlink r:id="rId24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定义销售范围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》），在销售订单中会要求强制匹配。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税务数据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：根据国家自动带出销售税条目，一般维护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（全额税）、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（没有税）等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B65FB2">
        <w:rPr>
          <w:rFonts w:ascii="Times New Roman" w:eastAsia="宋体" w:hAnsi="Times New Roman" w:cs="Times New Roman" w:hint="eastAsia"/>
          <w:color w:val="494949"/>
          <w:szCs w:val="24"/>
        </w:rPr>
        <w:t>与其它数据组合确定销项税率，应用详见《</w:t>
      </w:r>
      <w:hyperlink r:id="rId25" w:tgtFrame="_blank" w:history="1">
        <w:r w:rsidRPr="00B65FB2">
          <w:rPr>
            <w:rFonts w:ascii="Times New Roman" w:eastAsia="宋体" w:hAnsi="Times New Roman" w:cs="Times New Roman" w:hint="eastAsia"/>
            <w:color w:val="91266C"/>
            <w:szCs w:val="24"/>
          </w:rPr>
          <w:t>维护销售条件</w:t>
        </w:r>
        <w:r w:rsidRPr="00B65FB2">
          <w:rPr>
            <w:rFonts w:ascii="Times New Roman" w:eastAsia="宋体" w:hAnsi="Times New Roman" w:cs="Times New Roman"/>
            <w:color w:val="91266C"/>
            <w:szCs w:val="24"/>
          </w:rPr>
          <w:t>_</w:t>
        </w:r>
        <w:r w:rsidRPr="00B65FB2">
          <w:rPr>
            <w:rFonts w:ascii="Times New Roman" w:eastAsia="宋体" w:hAnsi="Times New Roman" w:cs="Times New Roman" w:hint="eastAsia"/>
            <w:color w:val="91266C"/>
            <w:szCs w:val="24"/>
          </w:rPr>
          <w:t>销项税</w:t>
        </w:r>
        <w:r w:rsidRPr="00B65FB2">
          <w:rPr>
            <w:rFonts w:ascii="Times New Roman" w:eastAsia="宋体" w:hAnsi="Times New Roman" w:cs="Times New Roman"/>
            <w:color w:val="91266C"/>
            <w:szCs w:val="24"/>
          </w:rPr>
          <w:t>(MWST)</w:t>
        </w:r>
      </w:hyperlink>
      <w:r w:rsidRPr="00B65FB2">
        <w:rPr>
          <w:rFonts w:ascii="Times New Roman" w:eastAsia="宋体" w:hAnsi="Times New Roman" w:cs="Times New Roman" w:hint="eastAsia"/>
          <w:color w:val="494949"/>
          <w:szCs w:val="24"/>
        </w:rPr>
        <w:t>》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界面中有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条件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按钮，点下可进入维护销售条件界面，相当于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VK11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（参数各不相同，本例为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界面如图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所示，各字段信息如下：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物料统计组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：一般维护值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“1”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'A' 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物资）。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物料定价组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：与定价条件相关。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科目设置组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：与开具发票相关，与其它值组合设定收入科目，详见《</w:t>
      </w:r>
      <w:hyperlink r:id="rId26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设定销售收入科目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界面如图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所示，各字段信息如下：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毛重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净重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：无组织机构数据，在基本数据视图中也有维护位置，毛重值应当比净重值大，否则报错。如维护则销售订单中会自动带出。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可用性检查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：关键参数，必输项，常维护值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“02”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（个别需求）。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运输组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：无组织机构数据。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装载组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：指定工厂数据，与工厂、客户主数据销售组织视图的装运条件等组合，设定装运点（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shipping point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），参见《</w:t>
      </w:r>
      <w:hyperlink r:id="rId27" w:tgtFrame="_blank" w:history="1">
        <w:r w:rsidRPr="00B65FB2">
          <w:rPr>
            <w:rFonts w:ascii="simsun" w:eastAsia="宋体" w:hAnsi="simsun" w:cs="宋体"/>
            <w:color w:val="91266C"/>
            <w:kern w:val="0"/>
            <w:szCs w:val="21"/>
          </w:rPr>
          <w:t>维护装运点确认</w:t>
        </w:r>
      </w:hyperlink>
      <w:r w:rsidRPr="00B65FB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b/>
          <w:bCs/>
          <w:color w:val="494949"/>
          <w:kern w:val="0"/>
          <w:szCs w:val="21"/>
        </w:rPr>
        <w:t>利润中心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：指定工厂数据，它其实是成本视图中的重要数据。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65FB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三．维护数据说明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由于销售视图中包含无组织机构、销售组织和工厂级别等多个层次的数据，所以在给出的维护数据中遵循如下原则：</w:t>
      </w:r>
    </w:p>
    <w:p w:rsidR="00B65FB2" w:rsidRPr="00B65FB2" w:rsidRDefault="00B65FB2" w:rsidP="00B65FB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无组织机构数据如在基本数据视图存在，则不再列出，如毛重、净重；如不存在则列出，如运输组；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65FB2" w:rsidRPr="00B65FB2" w:rsidRDefault="00B65FB2" w:rsidP="00B65FB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销售（工厂）视图下的一般工厂参数组数据，如利润中心等，放到存储视图或成本视图中描述；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65FB2" w:rsidRPr="00B65FB2" w:rsidRDefault="00B65FB2" w:rsidP="00B65FB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销售组织、工厂级别的如非默认值或需维护相应值，则给出数据。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示例数据如下表所示，界面参考图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物料类型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销售：销售组织数据1,2 (销售组织：C100</w:t>
            </w: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分销渠道:D1)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现金折扣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税务数据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税分类(CN MWST)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全额税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分组条款(视图2)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物料统计组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'A' 物资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物料定价组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通常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科目设置组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贸易货物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项目类别组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销售：一般/工厂数据</w:t>
            </w: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B65FB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(工厂：C100)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可用性检查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02 个别需求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运输组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在托盘上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无组织机构数据</w:t>
            </w:r>
          </w:p>
        </w:tc>
      </w:tr>
      <w:tr w:rsidR="00B65FB2" w:rsidRPr="00B65FB2" w:rsidTr="00B65FB2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装载组</w:t>
            </w:r>
          </w:p>
        </w:tc>
        <w:tc>
          <w:tcPr>
            <w:tcW w:w="7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吊车</w:t>
            </w:r>
          </w:p>
        </w:tc>
        <w:tc>
          <w:tcPr>
            <w:tcW w:w="1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65FB2" w:rsidRPr="00B65FB2" w:rsidRDefault="00B65FB2" w:rsidP="00B65FB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65FB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B65FB2" w:rsidRPr="00B65FB2" w:rsidRDefault="00B65FB2" w:rsidP="00B65FB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65FB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65FB2">
        <w:rPr>
          <w:rFonts w:ascii="simsun" w:eastAsia="宋体" w:hAnsi="simsun" w:cs="宋体"/>
          <w:color w:val="494949"/>
          <w:kern w:val="0"/>
          <w:szCs w:val="21"/>
        </w:rPr>
        <w:t>物料主数据销售视图数据</w:t>
      </w:r>
    </w:p>
    <w:p w:rsidR="00CC4FB1" w:rsidRPr="00B65FB2" w:rsidRDefault="00B65FB2">
      <w:pPr>
        <w:rPr>
          <w:rFonts w:hint="eastAsia"/>
        </w:rPr>
      </w:pPr>
      <w:bookmarkStart w:id="0" w:name="_GoBack"/>
      <w:bookmarkEnd w:id="0"/>
    </w:p>
    <w:sectPr w:rsidR="00CC4FB1" w:rsidRPr="00B6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36E36"/>
    <w:multiLevelType w:val="multilevel"/>
    <w:tmpl w:val="DAB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E9"/>
    <w:rsid w:val="004042E9"/>
    <w:rsid w:val="006362C1"/>
    <w:rsid w:val="00B65FB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5F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5F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5F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5FB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65FB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65FB2"/>
    <w:rPr>
      <w:b/>
      <w:bCs/>
    </w:rPr>
  </w:style>
  <w:style w:type="paragraph" w:styleId="a5">
    <w:name w:val="Normal (Web)"/>
    <w:basedOn w:val="a"/>
    <w:uiPriority w:val="99"/>
    <w:unhideWhenUsed/>
    <w:rsid w:val="00B65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65F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5F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5F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5F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5F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5FB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65FB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65FB2"/>
    <w:rPr>
      <w:b/>
      <w:bCs/>
    </w:rPr>
  </w:style>
  <w:style w:type="paragraph" w:styleId="a5">
    <w:name w:val="Normal (Web)"/>
    <w:basedOn w:val="a"/>
    <w:uiPriority w:val="99"/>
    <w:unhideWhenUsed/>
    <w:rsid w:val="00B65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65F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5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5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9ag&amp;url=http://s10.sinaimg.cn/orignal/4e997c67g7c41b82ed329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blog.sina.com.cn/s/blog_4e997c670100eia0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9ag&amp;url=http://s11.sinaimg.cn/orignal/4e997c67g7c41ba81892a" TargetMode="External"/><Relationship Id="rId25" Type="http://schemas.openxmlformats.org/officeDocument/2006/relationships/hyperlink" Target="http://blog.sina.com.cn/s/blog_4e997c670100elnu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9ag&amp;url=http://s11.sinaimg.cn/orignal/4e997c67g7c41b205ac6a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blog.sina.com.cn/s/blog_4e997c670100e7x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9ag&amp;url=http://s9.sinaimg.cn/orignal/4e997c67g7c41ba630b58" TargetMode="External"/><Relationship Id="rId23" Type="http://schemas.openxmlformats.org/officeDocument/2006/relationships/hyperlink" Target="http://blog.sina.com.cn/s/blog_4e997c670100e7hp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9ag&amp;url=http://s7.sinaimg.cn/orignal/4e997c67g7c41b5e78a56" TargetMode="External"/><Relationship Id="rId19" Type="http://schemas.openxmlformats.org/officeDocument/2006/relationships/hyperlink" Target="http://photo.blog.sina.com.cn/showpic.html#blogid=4e997c670100e9ag&amp;url=http://s5.sinaimg.cn/orignal/4e997c67g7c41bc98b8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e997c670100e7pc.html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blog.sina.com.cn/s/blog_4e997c670100dy27.html" TargetMode="External"/><Relationship Id="rId27" Type="http://schemas.openxmlformats.org/officeDocument/2006/relationships/hyperlink" Target="http://blog.sina.com.cn/s/blog_4e997c670100e7x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2012-08-12T13:16:00Z</dcterms:created>
  <dcterms:modified xsi:type="dcterms:W3CDTF">2012-08-12T13:17:00Z</dcterms:modified>
</cp:coreProperties>
</file>