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874D2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维护未结清过帐期间变式</w:t>
      </w:r>
      <w:r w:rsidRPr="00874D2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(Variants for Open Posting Periods)</w:t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74D2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本文是维护未结清过帐期间变式（</w:t>
      </w:r>
      <w:r w:rsidRPr="00874D26">
        <w:rPr>
          <w:rFonts w:ascii="simsun" w:eastAsia="宋体" w:hAnsi="simsun" w:cs="宋体"/>
          <w:b/>
          <w:bCs/>
          <w:color w:val="494949"/>
          <w:kern w:val="0"/>
          <w:szCs w:val="21"/>
        </w:rPr>
        <w:t>Variants for Open Posting Periods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）的具体内容，包括普通帐期和特殊帐期的起止年月。本操作在前后台均可进入。</w:t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74D2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2740"/>
        <w:gridCol w:w="643"/>
        <w:gridCol w:w="2295"/>
        <w:gridCol w:w="1884"/>
      </w:tblGrid>
      <w:tr w:rsidR="00874D26" w:rsidRPr="00874D26" w:rsidTr="00874D26">
        <w:trPr>
          <w:tblCellSpacing w:w="0" w:type="dxa"/>
          <w:jc w:val="center"/>
        </w:trPr>
        <w:tc>
          <w:tcPr>
            <w:tcW w:w="82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序号</w:t>
            </w:r>
          </w:p>
        </w:tc>
        <w:tc>
          <w:tcPr>
            <w:tcW w:w="31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6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25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说明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825" w:type="dxa"/>
            <w:vMerge w:val="restart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</w:t>
            </w:r>
          </w:p>
        </w:tc>
        <w:tc>
          <w:tcPr>
            <w:tcW w:w="31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变式名</w:t>
            </w:r>
          </w:p>
        </w:tc>
        <w:tc>
          <w:tcPr>
            <w:tcW w:w="6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</w:t>
            </w:r>
          </w:p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Courier New" w:eastAsia="宋体" w:hAnsi="Courier New" w:cs="Courier New" w:hint="eastAsia"/>
                <w:color w:val="494949"/>
                <w:kern w:val="0"/>
                <w:szCs w:val="21"/>
              </w:rPr>
              <w:t>枫竹丹青记帐期间变式</w:t>
            </w:r>
          </w:p>
        </w:tc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A(帐户类型或覆盖)</w:t>
            </w:r>
          </w:p>
        </w:tc>
        <w:tc>
          <w:tcPr>
            <w:tcW w:w="6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+(对所有帐户类型)</w:t>
            </w:r>
          </w:p>
        </w:tc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起始科目</w:t>
            </w:r>
          </w:p>
        </w:tc>
        <w:tc>
          <w:tcPr>
            <w:tcW w:w="6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5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(空)</w:t>
            </w:r>
          </w:p>
        </w:tc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终止帐户</w:t>
            </w:r>
          </w:p>
        </w:tc>
        <w:tc>
          <w:tcPr>
            <w:tcW w:w="6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5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(空)</w:t>
            </w:r>
          </w:p>
        </w:tc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普通帐期起始期间月/年</w:t>
            </w:r>
          </w:p>
        </w:tc>
        <w:tc>
          <w:tcPr>
            <w:tcW w:w="6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1/2009 (起始年及1月)</w:t>
            </w:r>
          </w:p>
        </w:tc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年：本年号；</w:t>
            </w:r>
          </w:p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月：1月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普通帐期终止期间月/年</w:t>
            </w:r>
          </w:p>
        </w:tc>
        <w:tc>
          <w:tcPr>
            <w:tcW w:w="6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12/2015 (未来年及12月)</w:t>
            </w:r>
          </w:p>
        </w:tc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年：未来年号；</w:t>
            </w:r>
          </w:p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月：12月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特别帐期起始期间月/年</w:t>
            </w:r>
          </w:p>
        </w:tc>
        <w:tc>
          <w:tcPr>
            <w:tcW w:w="6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13/2009</w:t>
            </w:r>
          </w:p>
        </w:tc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年：本年号；</w:t>
            </w:r>
          </w:p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月：特别帐期开始月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特别帐期终止期间月/年</w:t>
            </w:r>
          </w:p>
        </w:tc>
        <w:tc>
          <w:tcPr>
            <w:tcW w:w="6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16/2015</w:t>
            </w:r>
          </w:p>
        </w:tc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年：未来年号；</w:t>
            </w:r>
          </w:p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月：特别帐期结束月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825" w:type="dxa"/>
            <w:vMerge w:val="restart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2,3,</w:t>
            </w:r>
          </w:p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4,5,</w:t>
            </w:r>
          </w:p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6</w:t>
            </w:r>
          </w:p>
        </w:tc>
        <w:tc>
          <w:tcPr>
            <w:tcW w:w="31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变式名</w:t>
            </w:r>
          </w:p>
        </w:tc>
        <w:tc>
          <w:tcPr>
            <w:tcW w:w="6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</w:t>
            </w:r>
          </w:p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枫竹丹青记帐期间变式</w:t>
            </w:r>
          </w:p>
        </w:tc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A(帐户类型或覆盖)</w:t>
            </w:r>
          </w:p>
        </w:tc>
        <w:tc>
          <w:tcPr>
            <w:tcW w:w="6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A,D,K,M,S</w:t>
            </w:r>
          </w:p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(多个条目)</w:t>
            </w:r>
          </w:p>
        </w:tc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 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起始科目</w:t>
            </w:r>
          </w:p>
        </w:tc>
        <w:tc>
          <w:tcPr>
            <w:tcW w:w="6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5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10000000</w:t>
            </w:r>
          </w:p>
        </w:tc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终止帐户</w:t>
            </w:r>
          </w:p>
        </w:tc>
        <w:tc>
          <w:tcPr>
            <w:tcW w:w="6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5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99999999</w:t>
            </w:r>
          </w:p>
        </w:tc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普通帐期起始期间月/年</w:t>
            </w:r>
          </w:p>
        </w:tc>
        <w:tc>
          <w:tcPr>
            <w:tcW w:w="6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1/2009 (起始年及1月)</w:t>
            </w:r>
          </w:p>
        </w:tc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年：本年号；</w:t>
            </w:r>
          </w:p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月：1月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普通帐期终止期间月/年</w:t>
            </w:r>
          </w:p>
        </w:tc>
        <w:tc>
          <w:tcPr>
            <w:tcW w:w="6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12/2015 (未来年及12月)</w:t>
            </w:r>
          </w:p>
        </w:tc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年：未来年号；</w:t>
            </w:r>
          </w:p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月：12月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特别帐期起始期间月/年</w:t>
            </w:r>
          </w:p>
        </w:tc>
        <w:tc>
          <w:tcPr>
            <w:tcW w:w="6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13/2009</w:t>
            </w:r>
          </w:p>
        </w:tc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年：本年号；</w:t>
            </w:r>
          </w:p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月：特别帐期开始月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特别帐期终止期间月/年</w:t>
            </w:r>
          </w:p>
        </w:tc>
        <w:tc>
          <w:tcPr>
            <w:tcW w:w="6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16/2015</w:t>
            </w:r>
          </w:p>
        </w:tc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年：未来年号；</w:t>
            </w:r>
          </w:p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月：特别帐期结束月</w:t>
            </w:r>
          </w:p>
        </w:tc>
      </w:tr>
    </w:tbl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数据共有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条记录，其中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帐户类型或覆盖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条目分别是：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+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A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D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K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M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S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。它们的含义如表２所示，其中类型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V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未在本文操作时维护。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700"/>
      </w:tblGrid>
      <w:tr w:rsidR="00874D26" w:rsidRPr="00874D26" w:rsidTr="00874D26">
        <w:trPr>
          <w:tblCellSpacing w:w="0" w:type="dxa"/>
          <w:jc w:val="center"/>
        </w:trPr>
        <w:tc>
          <w:tcPr>
            <w:tcW w:w="10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类型</w:t>
            </w:r>
          </w:p>
        </w:tc>
        <w:tc>
          <w:tcPr>
            <w:tcW w:w="27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短文本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10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+</w:t>
            </w:r>
          </w:p>
        </w:tc>
        <w:tc>
          <w:tcPr>
            <w:tcW w:w="27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对所有帐户类型都有效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10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</w:t>
            </w:r>
          </w:p>
        </w:tc>
        <w:tc>
          <w:tcPr>
            <w:tcW w:w="27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资产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10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</w:t>
            </w:r>
          </w:p>
        </w:tc>
        <w:tc>
          <w:tcPr>
            <w:tcW w:w="27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客户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10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K</w:t>
            </w:r>
          </w:p>
        </w:tc>
        <w:tc>
          <w:tcPr>
            <w:tcW w:w="27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供应商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10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</w:t>
            </w:r>
          </w:p>
        </w:tc>
        <w:tc>
          <w:tcPr>
            <w:tcW w:w="27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10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</w:t>
            </w:r>
          </w:p>
        </w:tc>
        <w:tc>
          <w:tcPr>
            <w:tcW w:w="27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总分类帐科目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10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</w:t>
            </w:r>
          </w:p>
        </w:tc>
        <w:tc>
          <w:tcPr>
            <w:tcW w:w="27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合同帐户</w:t>
            </w:r>
          </w:p>
        </w:tc>
      </w:tr>
    </w:tbl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维护的帐户或覆盖类型</w:t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74D2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5655"/>
      </w:tblGrid>
      <w:tr w:rsidR="00874D26" w:rsidRPr="00874D26" w:rsidTr="00874D26">
        <w:trPr>
          <w:tblCellSpacing w:w="0" w:type="dxa"/>
          <w:jc w:val="center"/>
        </w:trPr>
        <w:tc>
          <w:tcPr>
            <w:tcW w:w="234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后台IMG路径</w:t>
            </w:r>
          </w:p>
        </w:tc>
        <w:tc>
          <w:tcPr>
            <w:tcW w:w="56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用户化实施指南→财务会计(新)→分类帐→会计年度和过帐期间→记帐期间→未清和关帐过帐期间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234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lastRenderedPageBreak/>
              <w:t>前台路径</w:t>
            </w:r>
          </w:p>
        </w:tc>
        <w:tc>
          <w:tcPr>
            <w:tcW w:w="56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SAP菜单→会计核算→财务会计→总分类帐→环境→当前设置→未清过帐期间和已结过帐期间</w:t>
            </w:r>
          </w:p>
        </w:tc>
      </w:tr>
      <w:tr w:rsidR="00874D26" w:rsidRPr="00874D26" w:rsidTr="00874D26">
        <w:trPr>
          <w:tblCellSpacing w:w="0" w:type="dxa"/>
          <w:jc w:val="center"/>
        </w:trPr>
        <w:tc>
          <w:tcPr>
            <w:tcW w:w="234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  <w:tc>
          <w:tcPr>
            <w:tcW w:w="56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74D26" w:rsidRPr="00874D26" w:rsidRDefault="00874D26" w:rsidP="00874D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74D2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OB52、S_ALR_87003642</w:t>
            </w:r>
          </w:p>
        </w:tc>
      </w:tr>
    </w:tbl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进入维护界面的方法有三种，均按表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874D26" w:rsidRPr="00874D26" w:rsidRDefault="00874D26" w:rsidP="00874D26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在后台按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874D26" w:rsidRPr="00874D26" w:rsidRDefault="00874D26" w:rsidP="00874D26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在前台如图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所示路径，进入图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界面；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874D26" w:rsidRPr="00874D26" w:rsidRDefault="00874D26" w:rsidP="00874D26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OB52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或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S_ALR_87003642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067175" cy="3781425"/>
            <wp:effectExtent l="0" t="0" r="9525" b="9525"/>
            <wp:docPr id="10" name="图片 10" descr="维护未结清过帐期间变式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维护未结清过帐期间变式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3962400"/>
            <wp:effectExtent l="0" t="0" r="0" b="0"/>
            <wp:docPr id="9" name="图片 9" descr="维护未结清过帐期间变式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维护未结清过帐期间变式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前台路径</w:t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486025"/>
            <wp:effectExtent l="0" t="0" r="0" b="9525"/>
            <wp:docPr id="8" name="图片 8" descr="维护未结清过帐期间变式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维护未结清过帐期间变式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指定时间段总览</w:t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是指定时间段总览，第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列是变式，第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列是帐户类型或覆盖，第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列是起止总帐科目号；后面列是各个时间段。点击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7" name="图片 7" descr="维护未结清过帐期间变式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维护未结清过帐期间变式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2152650"/>
            <wp:effectExtent l="0" t="0" r="0" b="0"/>
            <wp:docPr id="6" name="图片 6" descr="维护未结清过帐期间变式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维护未结清过帐期间变式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新添条目界面</w:t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界面，按表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示例数据依次输入各个栏目数据，共有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行。如嫌繁琐，可从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0001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复制再小范围修改。输入无误后，按保存键（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维护未结清过帐期间变式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维护未结清过帐期间变式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维护未结清过帐期间变式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维护未结清过帐期间变式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所示，连续按返回键（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维护未结清过帐期间变式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维护未结清过帐期间变式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2" name="图片 2" descr="维护未结清过帐期间变式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维护未结清过帐期间变式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2152650"/>
            <wp:effectExtent l="0" t="0" r="0" b="0"/>
            <wp:docPr id="1" name="图片 1" descr="维护未结清过帐期间变式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维护未结清过帐期间变式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D26" w:rsidRPr="00874D26" w:rsidRDefault="00874D26" w:rsidP="00874D2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74D2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874D26">
        <w:rPr>
          <w:rFonts w:ascii="simsun" w:eastAsia="宋体" w:hAnsi="simsun" w:cs="宋体"/>
          <w:color w:val="494949"/>
          <w:kern w:val="0"/>
          <w:szCs w:val="21"/>
        </w:rPr>
        <w:t>新添条目确认界面</w:t>
      </w:r>
    </w:p>
    <w:p w:rsidR="00CC4FB1" w:rsidRDefault="00874D26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C12C9"/>
    <w:multiLevelType w:val="multilevel"/>
    <w:tmpl w:val="B15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52"/>
    <w:rsid w:val="006362C1"/>
    <w:rsid w:val="00823552"/>
    <w:rsid w:val="00874D26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74D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74D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4D2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74D2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74D26"/>
    <w:rPr>
      <w:b/>
      <w:bCs/>
    </w:rPr>
  </w:style>
  <w:style w:type="paragraph" w:styleId="a4">
    <w:name w:val="Normal (Web)"/>
    <w:basedOn w:val="a"/>
    <w:uiPriority w:val="99"/>
    <w:unhideWhenUsed/>
    <w:rsid w:val="00874D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74D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4D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74D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74D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4D2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74D2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74D26"/>
    <w:rPr>
      <w:b/>
      <w:bCs/>
    </w:rPr>
  </w:style>
  <w:style w:type="paragraph" w:styleId="a4">
    <w:name w:val="Normal (Web)"/>
    <w:basedOn w:val="a"/>
    <w:uiPriority w:val="99"/>
    <w:unhideWhenUsed/>
    <w:rsid w:val="00874D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74D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4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3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08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40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4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8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73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1ve&amp;url=http://s13.sinaimg.cn/orignal/4e997c67t6cf01f68204c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1ve&amp;url=http://s5.sinaimg.cn/orignal/4e997c67t6bbe4cef3224&amp;690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1ve&amp;url=http://s6.sinaimg.cn/orignal/4e997c67t6bbe4fe5e615&amp;690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1ve&amp;url=http://s12.sinaimg.cn/orignal/4e997c67t6bbe4cef4c5b&amp;690" TargetMode="External"/><Relationship Id="rId20" Type="http://schemas.openxmlformats.org/officeDocument/2006/relationships/hyperlink" Target="http://photo.blog.sina.com.cn/showpic.html#blogid=4e997c670100e1ve&amp;url=http://s5.sinaimg.cn/orignal/4e997c67t6bbe4cdfd3e4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1ve&amp;url=http://s5.sinaimg.cn/orignal/4e997c67t6cf01eaf6224&amp;690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e1ve&amp;url=http://s7.sinaimg.cn/orignal/4e997c67t6cf0223c8e36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photo.blog.sina.com.cn/showpic.html#blogid=4e997c670100e1ve&amp;url=http://s2.sinaimg.cn/orignal/4e997c67t6cf01fecd0a1&amp;690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1ve&amp;url=http://s2.sinaimg.cn/orignal/4e997c67t6cf020924a01&amp;690" TargetMode="External"/><Relationship Id="rId22" Type="http://schemas.openxmlformats.org/officeDocument/2006/relationships/hyperlink" Target="http://photo.blog.sina.com.cn/showpic.html#blogid=4e997c670100e1ve&amp;url=http://s2.sinaimg.cn/orignal/4e997c67t6cf0215bc0f1&amp;69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2012-08-12T13:45:00Z</dcterms:created>
  <dcterms:modified xsi:type="dcterms:W3CDTF">2012-08-12T13:45:00Z</dcterms:modified>
</cp:coreProperties>
</file>