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4465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维护雇员容差组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446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446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雇员容差组（</w:t>
      </w:r>
      <w:r w:rsidRPr="0024465D">
        <w:rPr>
          <w:rFonts w:ascii="simsun" w:eastAsia="宋体" w:hAnsi="simsun" w:cs="宋体"/>
          <w:b/>
          <w:bCs/>
          <w:color w:val="494949"/>
          <w:kern w:val="0"/>
          <w:szCs w:val="21"/>
        </w:rPr>
        <w:t>Define Tolerance Groups for Employees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）定义了雇员在做会计凭证时的金额限制。一个公司代码下可以定义多个雇员容差组，为每个会计人员分配不同等级的容差组，如级别低的人员分配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到金额</w:t>
      </w:r>
      <w:proofErr w:type="gramEnd"/>
      <w:r w:rsidRPr="0024465D">
        <w:rPr>
          <w:rFonts w:ascii="simsun" w:eastAsia="宋体" w:hAnsi="simsun" w:cs="宋体"/>
          <w:color w:val="494949"/>
          <w:kern w:val="0"/>
          <w:szCs w:val="21"/>
        </w:rPr>
        <w:t>较小的容差组。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容差组编号可以为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空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，这是一个重要的条目，会计人员被默认分配到为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空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的容差组中。如果此公司代码下无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空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的容差组，则需手工将会计人员分配到每一个具体的容差组下，否则无法创建会计凭证。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446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750"/>
        <w:gridCol w:w="2400"/>
      </w:tblGrid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bookmarkStart w:id="0" w:name="OLE_LINK1"/>
            <w:r w:rsidRPr="0024465D">
              <w:rPr>
                <w:rFonts w:ascii="宋体" w:eastAsia="宋体" w:hAnsi="宋体" w:cs="宋体"/>
                <w:b/>
                <w:bCs/>
                <w:color w:val="91266C"/>
                <w:kern w:val="0"/>
                <w:sz w:val="24"/>
                <w:szCs w:val="24"/>
              </w:rPr>
              <w:t>项目</w:t>
            </w:r>
            <w:bookmarkEnd w:id="0"/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768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768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记帐</w:t>
            </w:r>
            <w:proofErr w:type="gramEnd"/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程序的上限金额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每个凭证的金额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1,000,000.00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每个未</w:t>
            </w:r>
            <w:proofErr w:type="gramStart"/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清帐户项目</w:t>
            </w:r>
            <w:proofErr w:type="gramEnd"/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的金额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500,000.00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每个行项的</w:t>
            </w:r>
            <w:proofErr w:type="gramEnd"/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现金折扣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2.000%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768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允许的支付差额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收入&lt;金额/百分比/现金折扣调整到&gt;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100.00 / 2% / 20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5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费用&lt;金额/百分比/现金折扣调整到&gt;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100.00 / 2% / 20</w:t>
            </w:r>
          </w:p>
        </w:tc>
      </w:tr>
    </w:tbl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以上数据表明了一个容差组的会计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24465D">
        <w:rPr>
          <w:rFonts w:ascii="simsun" w:eastAsia="宋体" w:hAnsi="simsun" w:cs="宋体"/>
          <w:color w:val="494949"/>
          <w:kern w:val="0"/>
          <w:szCs w:val="21"/>
        </w:rPr>
        <w:t>的金额限制，包括绝对值和百分比两方面数据。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446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785"/>
      </w:tblGrid>
      <w:tr w:rsidR="0024465D" w:rsidRPr="0024465D" w:rsidTr="0024465D">
        <w:trPr>
          <w:tblCellSpacing w:w="0" w:type="dxa"/>
          <w:jc w:val="center"/>
        </w:trPr>
        <w:tc>
          <w:tcPr>
            <w:tcW w:w="5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5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用户化实施指南→财务会计(新)→财务会计全局设置(新)→凭证→容差组→定义雇员的容差组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V_T043T</w:t>
            </w:r>
          </w:p>
        </w:tc>
      </w:tr>
    </w:tbl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维护进入界面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24465D" w:rsidRPr="0024465D" w:rsidRDefault="0024465D" w:rsidP="0024465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4465D" w:rsidRPr="0024465D" w:rsidRDefault="0024465D" w:rsidP="0024465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V_T043T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  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28975" cy="2571750"/>
            <wp:effectExtent l="0" t="0" r="9525" b="0"/>
            <wp:docPr id="10" name="图片 10" descr="维护雇员容差组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雇员容差组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81350" cy="2495550"/>
            <wp:effectExtent l="0" t="0" r="0" b="0"/>
            <wp:docPr id="9" name="图片 9" descr="维护雇员容差组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雇员容差组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2 FI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雇员容差组总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是目前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雇员容差组总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4465D">
        <w:rPr>
          <w:rFonts w:ascii="simsun" w:eastAsia="宋体" w:hAnsi="simsun" w:cs="宋体"/>
          <w:color w:val="494949"/>
          <w:kern w:val="0"/>
          <w:szCs w:val="21"/>
        </w:rPr>
        <w:t>，点击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维护雇员容差组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雇员容差组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81525" cy="4095750"/>
            <wp:effectExtent l="0" t="0" r="9525" b="0"/>
            <wp:docPr id="7" name="图片 7" descr="维护雇员容差组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雇员容差组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维护新条目界面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维护雇员容差组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雇员容差组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维护雇员容差组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雇员容差组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）继续。保存成功后，按返回键（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雇员容差组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雇员容差组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）至容差组总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4465D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维护雇员容差组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雇员容差组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维护雇员容差组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雇员容差组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71825" cy="2686050"/>
            <wp:effectExtent l="0" t="0" r="9525" b="0"/>
            <wp:docPr id="1" name="图片 1" descr="维护雇员容差组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雇员容差组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5 FI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雇员容差组总</w:t>
      </w:r>
      <w:proofErr w:type="gramStart"/>
      <w:r w:rsidRPr="0024465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24465D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4465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四．其它</w:t>
      </w:r>
      <w:bookmarkStart w:id="1" w:name="_GoBack"/>
      <w:bookmarkEnd w:id="1"/>
    </w:p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将会计人员分配到雇员容差组的路径如表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785"/>
      </w:tblGrid>
      <w:tr w:rsidR="0024465D" w:rsidRPr="0024465D" w:rsidTr="0024465D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24465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24465D" w:rsidRPr="0024465D" w:rsidTr="0024465D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用户化实施指南→财务会计(新)→财务会计全局设置(新)→凭证→容差组→分配用户/容差组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4465D" w:rsidRPr="0024465D" w:rsidRDefault="0024465D" w:rsidP="0024465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4465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V_T043</w:t>
            </w:r>
          </w:p>
        </w:tc>
      </w:tr>
    </w:tbl>
    <w:p w:rsidR="0024465D" w:rsidRPr="0024465D" w:rsidRDefault="0024465D" w:rsidP="0024465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4465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4465D">
        <w:rPr>
          <w:rFonts w:ascii="simsun" w:eastAsia="宋体" w:hAnsi="simsun" w:cs="宋体"/>
          <w:color w:val="494949"/>
          <w:kern w:val="0"/>
          <w:szCs w:val="21"/>
        </w:rPr>
        <w:t>维护会计年度变式路径</w:t>
      </w:r>
    </w:p>
    <w:p w:rsidR="00CC4FB1" w:rsidRPr="0024465D" w:rsidRDefault="0024465D">
      <w:pPr>
        <w:rPr>
          <w:rFonts w:hint="eastAsia"/>
        </w:rPr>
      </w:pPr>
    </w:p>
    <w:sectPr w:rsidR="00CC4FB1" w:rsidRPr="0024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9CE"/>
    <w:multiLevelType w:val="multilevel"/>
    <w:tmpl w:val="178A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B1"/>
    <w:rsid w:val="0024465D"/>
    <w:rsid w:val="006362C1"/>
    <w:rsid w:val="00A132B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46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46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46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46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4465D"/>
    <w:rPr>
      <w:b/>
      <w:bCs/>
    </w:rPr>
  </w:style>
  <w:style w:type="paragraph" w:styleId="a4">
    <w:name w:val="Normal (Web)"/>
    <w:basedOn w:val="a"/>
    <w:uiPriority w:val="99"/>
    <w:unhideWhenUsed/>
    <w:rsid w:val="00244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4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46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46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46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46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46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4465D"/>
    <w:rPr>
      <w:b/>
      <w:bCs/>
    </w:rPr>
  </w:style>
  <w:style w:type="paragraph" w:styleId="a4">
    <w:name w:val="Normal (Web)"/>
    <w:basedOn w:val="a"/>
    <w:uiPriority w:val="99"/>
    <w:unhideWhenUsed/>
    <w:rsid w:val="00244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4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4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60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82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3aj&amp;url=http://s8.sinaimg.cn/orignal/4e997c67t6d2ca0cdd4f7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3aj&amp;url=http://s5.sinaimg.cn/orignal/4e997c67t6bbe4cdfd3e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3aj&amp;url=http://s3.sinaimg.cn/orignal/4e997c67t6d2ca1c3c592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3aj&amp;url=http://s5.sinaimg.cn/orignal/4e997c67t6bbe4cef3224&amp;690" TargetMode="External"/><Relationship Id="rId20" Type="http://schemas.openxmlformats.org/officeDocument/2006/relationships/hyperlink" Target="http://photo.blog.sina.com.cn/showpic.html#blogid=4e997c670100e3aj&amp;url=http://s15.sinaimg.cn/orignal/4e997c67t71514371ea9e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3aj&amp;url=http://s6.sinaimg.cn/orignal/4e997c67t6d2ca00a3e95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3aj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3aj&amp;url=http://s12.sinaimg.cn/orignal/4e997c67t6bbe4cef4c5b&amp;690" TargetMode="External"/><Relationship Id="rId22" Type="http://schemas.openxmlformats.org/officeDocument/2006/relationships/hyperlink" Target="http://photo.blog.sina.com.cn/showpic.html#blogid=4e997c670100e3aj&amp;url=http://s3.sinaimg.cn/orignal/4e997c67t6d2ca2f5e612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2012-08-12T14:33:00Z</dcterms:created>
  <dcterms:modified xsi:type="dcterms:W3CDTF">2012-08-12T14:33:00Z</dcterms:modified>
</cp:coreProperties>
</file>