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业务操作及流程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color w:val="494949"/>
          <w:kern w:val="0"/>
          <w:szCs w:val="21"/>
        </w:rPr>
        <w:t>   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当后台配置全部完成，并维护了主数据，就可在系统中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执运行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业务操作了；当多个业务操作组合在一起，就成了业务流程。一个业务操作就是执行一个事物码；而业务流程则由多个事物码组成，并且前后有关联。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color w:val="494949"/>
          <w:kern w:val="0"/>
          <w:szCs w:val="21"/>
        </w:rPr>
        <w:t>   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如果后台配置或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维护不完整，则在创建业务操作过程中报错。如出现错误情况，则需要根据报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错信息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及经验查找原因。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color w:val="494949"/>
          <w:kern w:val="0"/>
          <w:szCs w:val="21"/>
        </w:rPr>
        <w:t>   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以下文档包含本配置方案涉及的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等三个模块的操作及流程。有些流程的成功执行也是有先决条件的，例如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4.1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的库存物料销售流程就需要库存物料数量满足发货要求。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color w:val="494949"/>
          <w:kern w:val="0"/>
          <w:szCs w:val="21"/>
        </w:rPr>
        <w:t>   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本文档将会持续更新，在不增扩组织机构、不增加配置变更类型的条件下，凡符合此框架的操作及流程都将收录进来。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FI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手工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记帐</w:t>
      </w:r>
      <w:proofErr w:type="gramEnd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至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总帐</w:t>
      </w:r>
      <w:proofErr w:type="gramEnd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科目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初始化现金及银行存款，使公司代码下的资产不为零。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FB50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5" w:tgtFrame="_blank" w:tooltip="会计凭证_一般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会计凭证</w:t>
        </w:r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一般型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2.2  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对供应商发票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记帐</w:t>
      </w:r>
      <w:proofErr w:type="gramEnd"/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lastRenderedPageBreak/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模块对供应商直接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，并形成应付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FB60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6" w:tgtFrame="_blank" w:tooltip="对供应商发票记帐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对供应商发票</w:t>
        </w:r>
        <w:proofErr w:type="gramStart"/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2.3  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给供应商付款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记帐</w:t>
      </w:r>
      <w:proofErr w:type="gramEnd"/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用银行存款（或现金）给供应商支付应付款项，并将相应的发票作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F-53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7" w:tgtFrame="_blank" w:tooltip="给供应商付款记帐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给供应商付款</w:t>
        </w:r>
        <w:proofErr w:type="gramStart"/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2.4  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对客户开具发票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模块直接对客户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，并形成应收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帐款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FB70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8" w:tgtFrame="_blank" w:tooltip="对客户开具发票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对客户开具发票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2.5  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收客户</w:t>
      </w:r>
      <w:proofErr w:type="gramEnd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还款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记帐</w:t>
      </w:r>
      <w:proofErr w:type="gramEnd"/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接收客户的付款，增加银行存款（或现金），并将相应的发票作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F-28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9" w:tgtFrame="_blank" w:tooltip="收客户还款记帐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收客户还款</w:t>
        </w:r>
        <w:proofErr w:type="gramStart"/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3.  MM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lastRenderedPageBreak/>
        <w:t>3.1  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初始化库存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单步操作。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期初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开帐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，使物料的库存不为零。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事物码（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Transaction Code</w:t>
      </w: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）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MB1C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MvT561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0" w:tgtFrame="_blank" w:tooltip="货物移动_初始化库存(MvT561)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货物移动</w:t>
        </w:r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初始化库存</w:t>
        </w:r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(MvT561)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3.2  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库存物料采购流程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采购订单发起的物料采购流程。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1" w:tgtFrame="_blank" w:tooltip="库存物料采购流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库存物料采购流程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3.3  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盘点流程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库存物料盘点，当库存与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帐面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数量出现差额时进行</w:t>
      </w:r>
      <w:proofErr w:type="gramStart"/>
      <w:r w:rsidRPr="00C23757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C23757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2" w:tgtFrame="_blank" w:tooltip="盘点流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盘点流程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4.  SD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4.1  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库存物料销售流程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由销售订单发起的库存物料销售流程。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3" w:tgtFrame="_blank" w:tooltip="库存物料销售流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库存物料销售流程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lastRenderedPageBreak/>
        <w:t>4.2  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外向交货发起的销售流程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由外向交货发起的库存销售流程，在出具发票时确定价格。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4" w:tgtFrame="_blank" w:tooltip="外向发货发起的销售流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外向发货发起的销售流程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4.3  </w:t>
      </w: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现金及快速销售流程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两类在创建销售订单时自动生成外向交货单的流程，简化流程的操作。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参考文档：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15" w:tgtFrame="_blank" w:tooltip="现金及快速销售流程" w:history="1">
        <w:r w:rsidRPr="00C23757">
          <w:rPr>
            <w:rFonts w:ascii="simsun" w:eastAsia="宋体" w:hAnsi="simsun" w:cs="宋体"/>
            <w:color w:val="91266C"/>
            <w:kern w:val="0"/>
            <w:szCs w:val="21"/>
          </w:rPr>
          <w:t>现金及快速销售流程</w:t>
        </w:r>
      </w:hyperlink>
      <w:r w:rsidRPr="00C23757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4.4  </w:t>
      </w:r>
      <w:proofErr w:type="gramStart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贷项借</w:t>
      </w:r>
      <w:proofErr w:type="gramEnd"/>
      <w:r w:rsidRPr="00C23757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项销售流程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类型：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业务流程。</w:t>
      </w:r>
    </w:p>
    <w:p w:rsidR="00C23757" w:rsidRPr="00C23757" w:rsidRDefault="00C23757" w:rsidP="00C23757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23757">
        <w:rPr>
          <w:rFonts w:ascii="simsun" w:eastAsia="宋体" w:hAnsi="simsun" w:cs="宋体"/>
          <w:b/>
          <w:bCs/>
          <w:color w:val="494949"/>
          <w:kern w:val="0"/>
          <w:szCs w:val="21"/>
        </w:rPr>
        <w:t>目的：</w:t>
      </w:r>
      <w:r w:rsidRPr="00C23757">
        <w:rPr>
          <w:rFonts w:ascii="simsun" w:eastAsia="宋体" w:hAnsi="simsun" w:cs="宋体"/>
          <w:color w:val="494949"/>
          <w:kern w:val="0"/>
          <w:szCs w:val="21"/>
        </w:rPr>
        <w:t>价格调整类销售订单发起的流程，不涉及实物，不含外向交货单。</w:t>
      </w:r>
    </w:p>
    <w:p w:rsidR="00C23757" w:rsidRDefault="00C23757" w:rsidP="00C23757">
      <w:pPr>
        <w:pStyle w:val="a4"/>
        <w:spacing w:line="360" w:lineRule="auto"/>
        <w:rPr>
          <w:rFonts w:ascii="simsun" w:hAnsi="simsun"/>
          <w:color w:val="494949"/>
          <w:sz w:val="21"/>
          <w:szCs w:val="21"/>
        </w:rPr>
      </w:pPr>
      <w:r>
        <w:rPr>
          <w:rFonts w:ascii="simsun" w:hAnsi="simsun"/>
          <w:b/>
          <w:bCs/>
          <w:color w:val="494949"/>
          <w:sz w:val="21"/>
          <w:szCs w:val="21"/>
        </w:rPr>
        <w:t>参考文档：</w:t>
      </w:r>
      <w:r>
        <w:rPr>
          <w:rFonts w:ascii="simsun" w:hAnsi="simsun"/>
          <w:color w:val="494949"/>
          <w:sz w:val="21"/>
          <w:szCs w:val="21"/>
        </w:rPr>
        <w:t>《</w:t>
      </w:r>
      <w:hyperlink r:id="rId16" w:tgtFrame="_blank" w:tooltip="贷项借项销售流程" w:history="1">
        <w:r>
          <w:rPr>
            <w:rStyle w:val="a3"/>
            <w:rFonts w:ascii="simsun" w:hAnsi="simsun"/>
            <w:sz w:val="21"/>
            <w:szCs w:val="21"/>
          </w:rPr>
          <w:t>贷项借项销售流程</w:t>
        </w:r>
      </w:hyperlink>
      <w:r>
        <w:rPr>
          <w:rFonts w:ascii="simsun" w:hAnsi="simsun"/>
          <w:color w:val="494949"/>
          <w:sz w:val="21"/>
          <w:szCs w:val="21"/>
        </w:rPr>
        <w:t>》</w:t>
      </w:r>
    </w:p>
    <w:p w:rsidR="00CC4FB1" w:rsidRPr="00C23757" w:rsidRDefault="00C23757">
      <w:pPr>
        <w:rPr>
          <w:rFonts w:hint="eastAsia"/>
        </w:rPr>
      </w:pPr>
      <w:bookmarkStart w:id="0" w:name="_GoBack"/>
      <w:bookmarkEnd w:id="0"/>
    </w:p>
    <w:sectPr w:rsidR="00CC4FB1" w:rsidRPr="00C2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AE"/>
    <w:rsid w:val="006362C1"/>
    <w:rsid w:val="00C23757"/>
    <w:rsid w:val="00C44BA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3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37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37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3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37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375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3757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23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3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37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37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3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37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375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3757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23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6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83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56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5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h4p2.html" TargetMode="External"/><Relationship Id="rId13" Type="http://schemas.openxmlformats.org/officeDocument/2006/relationships/hyperlink" Target="http://blog.sina.com.cn/s/blog_4e997c670100lh3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gw62.html" TargetMode="External"/><Relationship Id="rId12" Type="http://schemas.openxmlformats.org/officeDocument/2006/relationships/hyperlink" Target="http://blog.sina.com.cn/s/blog_4e997c670100lt0h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mhi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h41c.html" TargetMode="External"/><Relationship Id="rId11" Type="http://schemas.openxmlformats.org/officeDocument/2006/relationships/hyperlink" Target="http://blog.sina.com.cn/s/blog_4e997c670100g7kz.html" TargetMode="External"/><Relationship Id="rId5" Type="http://schemas.openxmlformats.org/officeDocument/2006/relationships/hyperlink" Target="http://blog.sina.com.cn/s/blog_4e997c670100f2yu.html" TargetMode="External"/><Relationship Id="rId15" Type="http://schemas.openxmlformats.org/officeDocument/2006/relationships/hyperlink" Target="http://blog.sina.com.cn/s/blog_4e997c670100pvww.html" TargetMode="External"/><Relationship Id="rId10" Type="http://schemas.openxmlformats.org/officeDocument/2006/relationships/hyperlink" Target="http://blog.sina.com.cn/s/blog_4e997c670100eox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gw5f.html" TargetMode="External"/><Relationship Id="rId14" Type="http://schemas.openxmlformats.org/officeDocument/2006/relationships/hyperlink" Target="http://blog.sina.com.cn/s/blog_4e997c670100lo1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2012-08-12T15:53:00Z</dcterms:created>
  <dcterms:modified xsi:type="dcterms:W3CDTF">2012-08-12T15:54:00Z</dcterms:modified>
</cp:coreProperties>
</file>