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F535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CF535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CF535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概述及目录</w:t>
      </w:r>
    </w:p>
    <w:p w:rsidR="00CF535D" w:rsidRPr="00CF535D" w:rsidRDefault="00CF535D" w:rsidP="00CF535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F53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一．前言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本配置文档是在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 ECC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系统中建立的一套基础的配置方案，是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ERP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咨询顾问进行后台配置的入门教材，涉及到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最为基础的配置、业务及操作内容。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编写此套配置方案，是出于以下思考：社会上各类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资料虽不多但也不算少，只是理论性的多而手把手实践性教学的少；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ERP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实施过程中，作为入门不久甚至多年的顾问虽有配置及操作的经验，但对于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整体架构所见太少。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作为一个最简单的基础的配置，本方案涉及到的模块只有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个：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财务会计、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采购及库存管理、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销售及分销，不含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CO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管理会计、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PP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生产、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PM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设备管理等模块，目的就是为了减轻配置的复杂度，让入门人员能够快速上手。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完成此套配置方案，对于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新手应能达到以下目的：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学会基础的配置操作；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在后台配置操作中，熟悉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系统最为基础的组织结构；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了解组织结构的定义及分配的关系；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4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了解主数据的维护步骤及组织机构层级；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5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基础的作帐、采购、销售流程；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本配置文档有以下特点：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lastRenderedPageBreak/>
        <w:t>    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所用版本为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 ECC 6 IDES SR3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 ECC 6 SR3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生产版，对于其它版本可在极小的修订（主要是条目翻译、位置差异）后使用。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配置是在一个客户端（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）中完成，不涉及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级别的配置；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配置的范围尽量精简、内容能省则省，为的是让入门人员尽快上手；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4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所有主数据、单据的类型均使用系统中自带的，不维护新的类型，但对于编码范围有所调整；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5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配置方案文档与基础性文档相分离：配置方案由一组文档组成，只描述最基础的配置数据，具体操作则链接到后台配置、主数据维护、业务操作、流程说明等基础文档，这些基础性文档与配置方案无紧密关联关系，可用于多套配置方案中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6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各基础文档只是将本步骤尽可能描述清楚，关联部分可用链接快速查到知识点。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可以进行以下操作及业务流程：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模块可运行总帐会计记帐、应付发票校验及付款、应收开据发票及收款等；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模块完整的基础采购流程及扩充采购流程，库存盘点流程等；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模块完整的销售流程及借贷项销售流程等。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F53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二．环境准备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进行此套配置需先安装一套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 ERP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系统。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ERP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本身有多套版本，同时又分为生产版和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版，对于本版本的练习，生产版与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版无区别。本版本文档全部是在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 ERP 6.0 SR3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上完成的，比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SR3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版本高的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EHP1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EHP2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也可使用。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本套方案只涉及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ABAP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部分，所以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ERP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系统可不用安装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JAVA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套件。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系统初始安装后，需至少完成以下准备步骤：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．安装中文（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ZH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）语言包并激活（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版无需安装但需要激活），文档详见《</w:t>
      </w:r>
      <w:hyperlink r:id="rId5" w:tgtFrame="_blank" w:tooltip="安装语言包(Language &lt;wbr&gt;Package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安装语言包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(Language Package)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．新建一个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（客户端）如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201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，注意要维护逻辑系统（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Logical system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），文档参见《</w:t>
      </w:r>
      <w:hyperlink r:id="rId6" w:tgtFrame="_blank" w:tooltip="定义客户端(Client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定义客户端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(Client)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．用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帐号登录新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（如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201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），密码为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”PASS”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，复制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Client 000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的数据，使用参数为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，文档参见《</w:t>
      </w:r>
      <w:hyperlink r:id="rId7" w:tgtFrame="_blank" w:tooltip="复制客户端(Client &lt;wbr&gt;Copy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复制客户端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(Client Copy)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4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．新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（如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201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）复制完成后，用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登录（由于复制，登录密码已变成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中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的密码），用事物码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SU01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建一个或若干个帐号，赋予完全权限（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），文档参见《</w:t>
      </w:r>
      <w:hyperlink r:id="rId8" w:tgtFrame="_blank" w:tooltip="定义用户(User)_全部权限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定义用户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(User)_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全部权限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5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．用新建的帐号登录系统（如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Client 201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）开始进行配置、主数据维护及业务操作。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F53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三．文档构成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全套配置方案的文档包含两大部分：专属配置文档和通用技术文档。专属配置文档只为本版本的配置方案服务，包括说明（即本文）、配置清单、主数据清单、可执行的业务操作及流程等几大类；通用技术文档包括后台配置、主数据维护、前台操作和业务流程等几大类，它们是独立的文档，既可为多套版本配置方案服务，也可作为单项知识点的教材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本版本配置方案的专属文档共计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个，分成四大类，见以下说明：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．总体性文档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包括使用说明（即本文）和变更日志（敬请期待）；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后台配置清单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包括跨组件、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等四个模块的配置清单。其中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的字段状态变式单独列一文档；自动记账文档是在总帐科目维护后进行配置，涉及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等三个模块。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9" w:tgtFrame="_blank" w:tooltip="配置V0.8_配置清单(跨组件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跨组件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0" w:tgtFrame="_blank" w:tooltip="配置V0.8_配置清单(FI模块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(FI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1" w:tgtFrame="_blank" w:tooltip="配置V0.8_配置清单(字段状态变式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字段状态变式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2" w:tgtFrame="_blank" w:tooltip="配置V0.8_配置清单(MM模块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(MM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3" w:tgtFrame="_blank" w:tooltip="配置V0.8_配置清单(SD模块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(SD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4" w:tgtFrame="_blank" w:tooltip="配置V0.8_配置清单(自动记帐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自动记帐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．主数据清单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包括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等三个模块的主数据清单。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5" w:tgtFrame="_blank" w:tooltip="配置V0.8_主数据_总帐科目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总帐科目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6" w:tgtFrame="_blank" w:tooltip="配置V0.8_主数据_MM模块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_MM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7" w:tgtFrame="_blank" w:tooltip="配置V0.8_主数据_SD模块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_SD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4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．操作流程清单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以上配置完成后可执行的业务操作及业务流程。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hyperlink r:id="rId18" w:tgtFrame="_blank" w:tooltip="配置V0.8_业务操作及流程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业务操作及流程</w:t>
        </w:r>
      </w:hyperlink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F53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四．操作步骤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使用此套文档，需经过后台配置、主数据维护、业务流程操作等步骤，某些操作是有前提的，例如需先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（财务会计）的配置才能对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（采购及库存）进行配置。配置流程如图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57600" cy="6572250"/>
            <wp:effectExtent l="0" t="0" r="0" b="0"/>
            <wp:docPr id="1" name="图片 1" descr="配置V0.8_概述及目录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配置V0.8_概述及目录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5D">
        <w:rPr>
          <w:rFonts w:ascii="simsun" w:eastAsia="宋体" w:hAnsi="simsun" w:cs="宋体"/>
          <w:color w:val="494949"/>
          <w:kern w:val="0"/>
          <w:szCs w:val="21"/>
        </w:rPr>
        <w:br/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操作流程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跨组件配置，这是针对整个客户端（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）的配置，虽可以后配，但建议在其它模块配置之前完成，参见《</w:t>
      </w:r>
      <w:hyperlink r:id="rId21" w:tgtFrame="_blank" w:tooltip="配置V0.8_配置清单(跨组件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跨组件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后台配置，此模块涉及定义公司，所以需在其它模块之前进行配置，参见《</w:t>
      </w:r>
      <w:hyperlink r:id="rId22" w:tgtFrame="_blank" w:tooltip="配置V0.8_配置清单(FI模块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(FI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》、《</w:t>
      </w:r>
      <w:hyperlink r:id="rId23" w:tgtFrame="_blank" w:tooltip="配置V0.8_配置清单(字段状态变式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字段状态变式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lastRenderedPageBreak/>
        <w:t>    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总帐科目主数据的维护，在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配置完成后就可以配置了，参见《</w:t>
      </w:r>
      <w:hyperlink r:id="rId24" w:tgtFrame="_blank" w:tooltip="配置V0.8_主数据_总帐科目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总帐科目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4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自动记帐（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部分），由于总帐科目已维护，所以可以进行此部分后台配置，参见《</w:t>
      </w:r>
      <w:hyperlink r:id="rId25" w:tgtFrame="_blank" w:tooltip="配置V0.8_配置清单(自动记帐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自动记帐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5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模块配置，此模块涉及工厂的定义，所以需先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模块完成，参见《</w:t>
      </w:r>
      <w:hyperlink r:id="rId26" w:tgtFrame="_blank" w:tooltip="配置V0.8_配置清单(MM模块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(MM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6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主数据维护，涉及物料和供应商，在维护供应商之前需维护总帐科目中的应付统驭科目（需先在第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步中完成），参见《</w:t>
      </w:r>
      <w:hyperlink r:id="rId27" w:tgtFrame="_blank" w:tooltip="配置V0.8_主数据_MM模块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_MM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7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自动记帐（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部分），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模块维护相关总帐科目后就可以进行此部分后台配置，参见《</w:t>
      </w:r>
      <w:hyperlink r:id="rId28" w:tgtFrame="_blank" w:tooltip="配置V0.8_配置清单(自动记帐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自动记帐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8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模块流程操作，在完成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模块的配置、主数据、自动记帐后，就可以进行此部分操作，参见《</w:t>
      </w:r>
      <w:hyperlink r:id="rId29" w:tgtFrame="_blank" w:tooltip="配置V0.8_业务操作及流程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业务操作及流程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9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模块配置，此模块需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模块配置基本组织架构（公司、工厂）后才能进行相关配置，参见《</w:t>
      </w:r>
      <w:hyperlink r:id="rId30" w:tgtFrame="_blank" w:tooltip="配置V0.8_配置清单(SD模块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(SD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10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主数据维护，涉及客户，在维护客户之前需维护总帐科目中的应收统驭科目（需先在第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步中完成），参见《</w:t>
      </w:r>
      <w:hyperlink r:id="rId31" w:tgtFrame="_blank" w:tooltip="配置V0.8_主数据_SD模块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_SD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11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自动记帐（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部分），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模块维护相关总帐科目后就可以进行此部分后台配置，参见《</w:t>
      </w:r>
      <w:hyperlink r:id="rId32" w:tgtFrame="_blank" w:tooltip="配置V0.8_配置清单(自动记帐)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自动记帐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12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模块流程操作，在完成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模块的配置、主数据、自动记帐后，就可以进行此部分操作，参见《</w:t>
      </w:r>
      <w:hyperlink r:id="rId33" w:tgtFrame="_blank" w:tooltip="配置V0.8_业务操作及流程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业务操作及流程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 13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 FI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模块流程操作，可进行总帐、应收、应付等的基本记帐操作，其中应付涉及供应商主数据，应付涉及客户主数据，参见《</w:t>
      </w:r>
      <w:hyperlink r:id="rId34" w:tgtFrame="_blank" w:tooltip="配置V0.8_业务操作及流程" w:history="1"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CF535D">
          <w:rPr>
            <w:rFonts w:ascii="simsun" w:eastAsia="宋体" w:hAnsi="simsun" w:cs="宋体"/>
            <w:color w:val="91266C"/>
            <w:kern w:val="0"/>
            <w:szCs w:val="21"/>
          </w:rPr>
          <w:t>业务操作及流程</w:t>
        </w:r>
      </w:hyperlink>
      <w:r w:rsidRPr="00CF535D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t>   </w:t>
      </w:r>
      <w:bookmarkStart w:id="0" w:name="_GoBack"/>
      <w:bookmarkEnd w:id="0"/>
    </w:p>
    <w:p w:rsidR="00CF535D" w:rsidRPr="00CF535D" w:rsidRDefault="00CF535D" w:rsidP="00CF53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535D">
        <w:rPr>
          <w:rFonts w:ascii="simsun" w:eastAsia="宋体" w:hAnsi="simsun" w:cs="宋体"/>
          <w:color w:val="494949"/>
          <w:kern w:val="0"/>
          <w:szCs w:val="21"/>
        </w:rPr>
        <w:lastRenderedPageBreak/>
        <w:t xml:space="preserve">    </w:t>
      </w:r>
      <w:r w:rsidRPr="00CF535D">
        <w:rPr>
          <w:rFonts w:ascii="simsun" w:eastAsia="宋体" w:hAnsi="simsun" w:cs="宋体"/>
          <w:color w:val="494949"/>
          <w:kern w:val="0"/>
          <w:szCs w:val="21"/>
        </w:rPr>
        <w:t>执行以上各步操作，最终将各模块的业务流程执行后，就完成了此版本的配置操作。</w:t>
      </w:r>
    </w:p>
    <w:p w:rsidR="00CC4FB1" w:rsidRPr="00CF535D" w:rsidRDefault="00CF535D">
      <w:pPr>
        <w:rPr>
          <w:rFonts w:hint="eastAsia"/>
        </w:rPr>
      </w:pPr>
    </w:p>
    <w:sectPr w:rsidR="00CC4FB1" w:rsidRPr="00CF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78"/>
    <w:rsid w:val="001E0578"/>
    <w:rsid w:val="006362C1"/>
    <w:rsid w:val="00CF535D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53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53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3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53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F535D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F5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53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53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3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53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F535D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F5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21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54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kdk9.html" TargetMode="External"/><Relationship Id="rId13" Type="http://schemas.openxmlformats.org/officeDocument/2006/relationships/hyperlink" Target="http://blog.sina.com.cn/s/blog_4e997c670100tmsh.html" TargetMode="External"/><Relationship Id="rId18" Type="http://schemas.openxmlformats.org/officeDocument/2006/relationships/hyperlink" Target="http://blog.sina.com.cn/s/blog_4e997c670100ut9x.html" TargetMode="External"/><Relationship Id="rId26" Type="http://schemas.openxmlformats.org/officeDocument/2006/relationships/hyperlink" Target="http://blog.sina.com.cn/s/blog_4e997c670100tje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4e997c670100uefj.html" TargetMode="External"/><Relationship Id="rId34" Type="http://schemas.openxmlformats.org/officeDocument/2006/relationships/hyperlink" Target="http://blog.sina.com.cn/s/blog_4e997c670100ut9x.html" TargetMode="External"/><Relationship Id="rId7" Type="http://schemas.openxmlformats.org/officeDocument/2006/relationships/hyperlink" Target="http://blog.sina.com.cn/s/blog_4e997c670100ggqn.html" TargetMode="External"/><Relationship Id="rId12" Type="http://schemas.openxmlformats.org/officeDocument/2006/relationships/hyperlink" Target="http://blog.sina.com.cn/s/blog_4e997c670100tjep.html" TargetMode="External"/><Relationship Id="rId17" Type="http://schemas.openxmlformats.org/officeDocument/2006/relationships/hyperlink" Target="http://blog.sina.com.cn/s/blog_4e997c670100u42p.html" TargetMode="External"/><Relationship Id="rId25" Type="http://schemas.openxmlformats.org/officeDocument/2006/relationships/hyperlink" Target="http://blog.sina.com.cn/s/blog_4e997c670100tpr9.html" TargetMode="External"/><Relationship Id="rId33" Type="http://schemas.openxmlformats.org/officeDocument/2006/relationships/hyperlink" Target="http://blog.sina.com.cn/s/blog_4e997c670100ut9x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sina.com.cn/s/blog_4e997c670100u3qt.html" TargetMode="External"/><Relationship Id="rId20" Type="http://schemas.openxmlformats.org/officeDocument/2006/relationships/image" Target="media/image1.jpeg"/><Relationship Id="rId29" Type="http://schemas.openxmlformats.org/officeDocument/2006/relationships/hyperlink" Target="http://blog.sina.com.cn/s/blog_4e997c670100ut9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fwn0.html" TargetMode="External"/><Relationship Id="rId11" Type="http://schemas.openxmlformats.org/officeDocument/2006/relationships/hyperlink" Target="http://blog.sina.com.cn/s/blog_4e997c670100to47.html" TargetMode="External"/><Relationship Id="rId24" Type="http://schemas.openxmlformats.org/officeDocument/2006/relationships/hyperlink" Target="http://blog.sina.com.cn/s/blog_4e997c670100twa1.html" TargetMode="External"/><Relationship Id="rId32" Type="http://schemas.openxmlformats.org/officeDocument/2006/relationships/hyperlink" Target="http://blog.sina.com.cn/s/blog_4e997c670100tpr9.html" TargetMode="External"/><Relationship Id="rId5" Type="http://schemas.openxmlformats.org/officeDocument/2006/relationships/hyperlink" Target="http://blog.sina.com.cn/s/blog_4e997c670100gfwh.html" TargetMode="External"/><Relationship Id="rId15" Type="http://schemas.openxmlformats.org/officeDocument/2006/relationships/hyperlink" Target="http://blog.sina.com.cn/s/blog_4e997c670100twa1.html" TargetMode="External"/><Relationship Id="rId23" Type="http://schemas.openxmlformats.org/officeDocument/2006/relationships/hyperlink" Target="http://blog.sina.com.cn/s/blog_4e997c670100to47.html" TargetMode="External"/><Relationship Id="rId28" Type="http://schemas.openxmlformats.org/officeDocument/2006/relationships/hyperlink" Target="http://blog.sina.com.cn/s/blog_4e997c670100tpr9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sina.com.cn/s/blog_4e997c670100tjav.html" TargetMode="External"/><Relationship Id="rId19" Type="http://schemas.openxmlformats.org/officeDocument/2006/relationships/hyperlink" Target="http://photo.blog.sina.com.cn/showpic.html#blogid=4e997c670100yij1&amp;url=http://s2.sinaimg.cn/orignal/4e997c67t77f134a7e4b1" TargetMode="External"/><Relationship Id="rId31" Type="http://schemas.openxmlformats.org/officeDocument/2006/relationships/hyperlink" Target="http://blog.sina.com.cn/s/blog_4e997c670100u42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uefj.html" TargetMode="External"/><Relationship Id="rId14" Type="http://schemas.openxmlformats.org/officeDocument/2006/relationships/hyperlink" Target="http://blog.sina.com.cn/s/blog_4e997c670100tpr9.html" TargetMode="External"/><Relationship Id="rId22" Type="http://schemas.openxmlformats.org/officeDocument/2006/relationships/hyperlink" Target="http://blog.sina.com.cn/s/blog_4e997c670100tjav.html" TargetMode="External"/><Relationship Id="rId27" Type="http://schemas.openxmlformats.org/officeDocument/2006/relationships/hyperlink" Target="http://blog.sina.com.cn/s/blog_4e997c670100u3qt.html" TargetMode="External"/><Relationship Id="rId30" Type="http://schemas.openxmlformats.org/officeDocument/2006/relationships/hyperlink" Target="http://blog.sina.com.cn/s/blog_4e997c670100tmsh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2012-08-12T11:54:00Z</dcterms:created>
  <dcterms:modified xsi:type="dcterms:W3CDTF">2012-08-12T11:54:00Z</dcterms:modified>
</cp:coreProperties>
</file>