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配置清单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自动记帐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本文档是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等三个模块的自动记账的配置清单，这些配置都需要在完成各自模块基本配置，并维护了总帐科目后才能进行操作。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FI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模块自动记帐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本配置方案中关于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自动记帐的目前有三项：留存收益科目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(Retained Earnings Account)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、进项税、销项税。其中留存收益配置不用预先维护总帐科目，本文档也就不再列出（参见《</w:t>
      </w:r>
      <w:hyperlink r:id="rId5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定义留存收益科目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(Retained Earnings Account)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进项税、销项税的配置清单如下，先设定规则再设定税率的科目，操作详见《</w:t>
      </w:r>
      <w:hyperlink r:id="rId6" w:tgtFrame="_blank" w:tooltip="定义销售购置税科目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定义销售购置税科目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2.1  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进项税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1258"/>
        <w:gridCol w:w="4416"/>
      </w:tblGrid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VST 进项税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350"/>
      </w:tblGrid>
      <w:tr w:rsidR="00792FAF" w:rsidRPr="00792FAF" w:rsidTr="00792FAF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税务代码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J0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J1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2.2  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销项税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1258"/>
        <w:gridCol w:w="4416"/>
      </w:tblGrid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过程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MWS 销项税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410"/>
      </w:tblGrid>
      <w:tr w:rsidR="00792FAF" w:rsidRPr="00792FAF" w:rsidTr="00792FAF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税务代码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X1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20100200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3.  MM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模块自动记帐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模块对自动记帐的科目进行配置的前提条件是：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模块的总帐科目已维护。示例数据如下表所示，操作详见《</w:t>
      </w:r>
      <w:hyperlink r:id="rId7" w:tgtFrame="_blank" w:tooltip="配置物料管理的自动记帐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配置物料管理的自动记帐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》，系统内列表显示如图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29225" cy="3981450"/>
            <wp:effectExtent l="0" t="0" r="9525" b="0"/>
            <wp:docPr id="1" name="图片 1" descr="配置V0.8_配置清单(自动记帐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配置V0.8_配置清单(自动记帐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AF">
        <w:rPr>
          <w:rFonts w:ascii="simsun" w:eastAsia="宋体" w:hAnsi="simsun" w:cs="宋体"/>
          <w:color w:val="494949"/>
          <w:kern w:val="0"/>
          <w:szCs w:val="21"/>
        </w:rPr>
        <w:br/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1 MM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模块自动记帐列表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3.1  GBB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库存记帐的冲销输入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lastRenderedPageBreak/>
        <w:t>GBB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事物类用于库存记帐的冲销输入，分为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个子类，见下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一般修改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栏，其中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BSA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用于期初开帐（对应业务详见《</w:t>
      </w:r>
      <w:hyperlink r:id="rId10" w:tgtFrame="_blank" w:tooltip="货物移动_初始化库存(MvT561)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货物移动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初始化库存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(MvT561)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》）；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INV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用于盘点盈亏记帐（对应业务详见《</w:t>
      </w:r>
      <w:hyperlink r:id="rId11" w:tgtFrame="_blank" w:tooltip="盘点差异过帐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盘点差异过帐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》）；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VAX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用于销售成本（对应业务详见《</w:t>
      </w:r>
      <w:hyperlink r:id="rId12" w:tgtFrame="_blank" w:tooltip="拣配及过帐_标准型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拣配及过帐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标准型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tbl>
      <w:tblPr>
        <w:tblW w:w="61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60"/>
        <w:gridCol w:w="3360"/>
      </w:tblGrid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GBB库存记帐的冲销输入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6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借方/贷方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一般修改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1"/>
      </w:tblGrid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一般修改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借方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贷方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BSA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INV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41100100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41100200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VAX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41020000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41020000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 xml:space="preserve">3.2  WRX 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已收货物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/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已收发票清算科目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WRX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事物类用于采购过程中的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清算的中间科目，用于采购和发票校验业务之间。根据评估级别区分，有具体评估级别（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3100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）的用于物料采购，空条目（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-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）则用于其它类采购。</w:t>
      </w:r>
    </w:p>
    <w:tbl>
      <w:tblPr>
        <w:tblW w:w="61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60"/>
        <w:gridCol w:w="3360"/>
      </w:tblGrid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WRX 已收货物/已收发票清算科目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6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借方/贷方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一般修改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非选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607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1519"/>
        <w:gridCol w:w="1519"/>
        <w:gridCol w:w="1519"/>
      </w:tblGrid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估价修改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借方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贷方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 xml:space="preserve">3.3  BSX 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存货记帐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BSX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事物类用于初始的存货记帐，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MB1C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MvT 561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）初始化库存时需要此项配置。</w:t>
      </w:r>
    </w:p>
    <w:tbl>
      <w:tblPr>
        <w:tblW w:w="61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60"/>
        <w:gridCol w:w="3360"/>
      </w:tblGrid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BSX 存货记帐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6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456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估价修改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评估级别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41003100</w:t>
            </w:r>
          </w:p>
        </w:tc>
      </w:tr>
    </w:tbl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4.  SD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模块自动记帐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4.1  </w:t>
      </w:r>
      <w:r w:rsidRPr="00792FA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设定销售收入科目</w:t>
      </w:r>
    </w:p>
    <w:p w:rsidR="00792FAF" w:rsidRPr="00792FAF" w:rsidRDefault="00792FAF" w:rsidP="00792FA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92FA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92FAF">
        <w:rPr>
          <w:rFonts w:ascii="simsun" w:eastAsia="宋体" w:hAnsi="simsun" w:cs="宋体"/>
          <w:color w:val="494949"/>
          <w:kern w:val="0"/>
          <w:szCs w:val="21"/>
        </w:rPr>
        <w:t>设置销售收入科目。示例数据如下表所示，操作详见《</w:t>
      </w:r>
      <w:hyperlink r:id="rId13" w:tgtFrame="_blank" w:tooltip="设定销售收入科目" w:history="1">
        <w:r w:rsidRPr="00792FAF">
          <w:rPr>
            <w:rFonts w:ascii="simsun" w:eastAsia="宋体" w:hAnsi="simsun" w:cs="宋体"/>
            <w:color w:val="91266C"/>
            <w:kern w:val="0"/>
            <w:szCs w:val="21"/>
          </w:rPr>
          <w:t>设定销售收入科目</w:t>
        </w:r>
      </w:hyperlink>
      <w:r w:rsidRPr="00792FA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表格选择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客户组/物料组/存取关键字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应用程序(App)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 销售/分销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KOFI 实际决定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FQCC枫竹丹青集团科目表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销售组织(SOrg.)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C100总部销售组织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帐户分类 (AAG)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国内收入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科目设置组(AAG)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01贸易物品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ERL 收入</w:t>
            </w:r>
          </w:p>
        </w:tc>
      </w:tr>
      <w:tr w:rsidR="00792FAF" w:rsidRPr="00792FAF" w:rsidTr="00792FA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2FAF" w:rsidRPr="00792FAF" w:rsidRDefault="00792FAF" w:rsidP="00792FA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92FA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60100100</w:t>
            </w:r>
          </w:p>
        </w:tc>
      </w:tr>
    </w:tbl>
    <w:p w:rsidR="00CC4FB1" w:rsidRDefault="00792FA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F6"/>
    <w:rsid w:val="001D56F6"/>
    <w:rsid w:val="006362C1"/>
    <w:rsid w:val="00792FA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2F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2F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92F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2F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2F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92FA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2FA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92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2F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2F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92F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2F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2F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92FA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2FA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92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6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95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tpr9&amp;url=http://s3.sinaimg.cn/orignal/4e997c67ta6c5ed53cd22" TargetMode="External"/><Relationship Id="rId13" Type="http://schemas.openxmlformats.org/officeDocument/2006/relationships/hyperlink" Target="http://blog.sina.com.cn/s/blog_4e997c670100eia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77p.html" TargetMode="External"/><Relationship Id="rId12" Type="http://schemas.openxmlformats.org/officeDocument/2006/relationships/hyperlink" Target="http://blog.sina.com.cn/s/blog_4e997c670100ewzu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4ny.html" TargetMode="External"/><Relationship Id="rId11" Type="http://schemas.openxmlformats.org/officeDocument/2006/relationships/hyperlink" Target="http://blog.sina.com.cn/s/blog_4e997c670100eze7.html" TargetMode="External"/><Relationship Id="rId5" Type="http://schemas.openxmlformats.org/officeDocument/2006/relationships/hyperlink" Target="http://blog.sina.com.cn/s/blog_4e997c670100e2th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sina.com.cn/s/blog_4e997c670100eox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2012-08-12T12:23:00Z</dcterms:created>
  <dcterms:modified xsi:type="dcterms:W3CDTF">2012-08-12T12:24:00Z</dcterms:modified>
</cp:coreProperties>
</file>