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667" w:rsidRPr="0019653D" w:rsidRDefault="004E5667" w:rsidP="004E5667">
      <w:r w:rsidRPr="0019653D">
        <w:t>配置</w:t>
      </w:r>
      <w:r w:rsidRPr="0019653D">
        <w:t>V0.8_</w:t>
      </w:r>
      <w:r w:rsidRPr="0019653D">
        <w:t>配置清单</w:t>
      </w:r>
      <w:r w:rsidRPr="0019653D">
        <w:t>(FI</w:t>
      </w:r>
      <w:r w:rsidRPr="0019653D">
        <w:t>模块</w:t>
      </w:r>
      <w:r w:rsidRPr="0019653D">
        <w:t>)</w:t>
      </w:r>
    </w:p>
    <w:p w:rsidR="004E5667" w:rsidRPr="0019653D" w:rsidRDefault="004E5667" w:rsidP="004E5667">
      <w:r w:rsidRPr="0019653D">
        <w:t> </w:t>
      </w:r>
    </w:p>
    <w:p w:rsidR="004E5667" w:rsidRPr="0019653D" w:rsidRDefault="004E5667" w:rsidP="004E5667">
      <w:r w:rsidRPr="0019653D">
        <w:t>1.  </w:t>
      </w:r>
      <w:r w:rsidRPr="0019653D">
        <w:t>说明</w:t>
      </w:r>
    </w:p>
    <w:p w:rsidR="004E5667" w:rsidRPr="0019653D" w:rsidRDefault="004E5667" w:rsidP="004E5667">
      <w:r w:rsidRPr="0019653D">
        <w:t>    </w:t>
      </w:r>
      <w:r w:rsidRPr="0019653D">
        <w:t>本版本的</w:t>
      </w:r>
      <w:r w:rsidRPr="0019653D">
        <w:t>FI</w:t>
      </w:r>
      <w:r w:rsidRPr="0019653D">
        <w:t>模块配置内容非常少，主要应用的是系统默认的配置参数，但能完成基本的</w:t>
      </w:r>
      <w:proofErr w:type="gramStart"/>
      <w:r w:rsidRPr="0019653D">
        <w:t>总帐</w:t>
      </w:r>
      <w:proofErr w:type="gramEnd"/>
      <w:r w:rsidRPr="0019653D">
        <w:t>、应收、应付操作。配置内容包含以下几部份：</w:t>
      </w:r>
    </w:p>
    <w:p w:rsidR="004E5667" w:rsidRPr="0019653D" w:rsidRDefault="004E5667" w:rsidP="004E5667">
      <w:r w:rsidRPr="0019653D">
        <w:t>    1</w:t>
      </w:r>
      <w:r w:rsidRPr="0019653D">
        <w:t>．基本的组织结构定义及分配，以及公司代码的全局性参数定义；</w:t>
      </w:r>
    </w:p>
    <w:p w:rsidR="004E5667" w:rsidRPr="0019653D" w:rsidRDefault="004E5667" w:rsidP="004E5667">
      <w:r w:rsidRPr="0019653D">
        <w:t>    2</w:t>
      </w:r>
      <w:r w:rsidRPr="0019653D">
        <w:t>．</w:t>
      </w:r>
      <w:proofErr w:type="gramStart"/>
      <w:r w:rsidRPr="0019653D">
        <w:t>总帐</w:t>
      </w:r>
      <w:proofErr w:type="gramEnd"/>
      <w:r w:rsidRPr="0019653D">
        <w:t>科目结构的定义（科目组、字段状态变式）；</w:t>
      </w:r>
    </w:p>
    <w:p w:rsidR="004E5667" w:rsidRPr="0019653D" w:rsidRDefault="004E5667" w:rsidP="004E5667">
      <w:r w:rsidRPr="0019653D">
        <w:t>    3</w:t>
      </w:r>
      <w:r w:rsidRPr="0019653D">
        <w:t>．容差组定义（雇员、应收应付）；</w:t>
      </w:r>
    </w:p>
    <w:p w:rsidR="004E5667" w:rsidRPr="0019653D" w:rsidRDefault="004E5667" w:rsidP="004E5667">
      <w:r w:rsidRPr="0019653D">
        <w:t>    4</w:t>
      </w:r>
      <w:r w:rsidRPr="0019653D">
        <w:t>．自动</w:t>
      </w:r>
      <w:proofErr w:type="gramStart"/>
      <w:r w:rsidRPr="0019653D">
        <w:t>记帐</w:t>
      </w:r>
      <w:proofErr w:type="gramEnd"/>
      <w:r w:rsidRPr="0019653D">
        <w:t>配置。</w:t>
      </w:r>
    </w:p>
    <w:p w:rsidR="004E5667" w:rsidRPr="0019653D" w:rsidRDefault="004E5667" w:rsidP="004E5667">
      <w:r w:rsidRPr="0019653D">
        <w:t>    FI</w:t>
      </w:r>
      <w:r w:rsidRPr="0019653D">
        <w:t>模块的配置步骤包含两部份，基础配置及自动</w:t>
      </w:r>
      <w:proofErr w:type="gramStart"/>
      <w:r w:rsidRPr="0019653D">
        <w:t>记帐</w:t>
      </w:r>
      <w:proofErr w:type="gramEnd"/>
      <w:r w:rsidRPr="0019653D">
        <w:t>。本文档只包含基础配置部分，完成此部分配置后需维护</w:t>
      </w:r>
      <w:proofErr w:type="gramStart"/>
      <w:r w:rsidRPr="0019653D">
        <w:t>总帐</w:t>
      </w:r>
      <w:proofErr w:type="gramEnd"/>
      <w:r w:rsidRPr="0019653D">
        <w:t>科目主数据，再进行自动</w:t>
      </w:r>
      <w:proofErr w:type="gramStart"/>
      <w:r w:rsidRPr="0019653D">
        <w:t>记帐</w:t>
      </w:r>
      <w:proofErr w:type="gramEnd"/>
      <w:r w:rsidRPr="0019653D">
        <w:t>的配置。</w:t>
      </w:r>
    </w:p>
    <w:p w:rsidR="004E5667" w:rsidRPr="0019653D" w:rsidRDefault="004E5667" w:rsidP="004E5667">
      <w:r w:rsidRPr="0019653D">
        <w:t>    </w:t>
      </w:r>
      <w:proofErr w:type="gramStart"/>
      <w:r w:rsidRPr="0019653D">
        <w:t>总帐</w:t>
      </w:r>
      <w:proofErr w:type="gramEnd"/>
      <w:r w:rsidRPr="0019653D">
        <w:t>科目</w:t>
      </w:r>
      <w:proofErr w:type="gramStart"/>
      <w:r w:rsidRPr="0019653D">
        <w:t>主数据</w:t>
      </w:r>
      <w:proofErr w:type="gramEnd"/>
      <w:r w:rsidRPr="0019653D">
        <w:t>的维护详见《</w:t>
      </w:r>
      <w:hyperlink r:id="rId5" w:tgtFrame="_blank" w:history="1">
        <w:r w:rsidRPr="0019653D">
          <w:t>配置</w:t>
        </w:r>
        <w:r w:rsidRPr="0019653D">
          <w:t>V0.8_</w:t>
        </w:r>
        <w:r w:rsidRPr="0019653D">
          <w:t>主数据</w:t>
        </w:r>
        <w:r w:rsidRPr="0019653D">
          <w:t>_</w:t>
        </w:r>
        <w:proofErr w:type="gramStart"/>
        <w:r w:rsidRPr="0019653D">
          <w:t>总帐</w:t>
        </w:r>
        <w:proofErr w:type="gramEnd"/>
        <w:r w:rsidRPr="0019653D">
          <w:t>科目</w:t>
        </w:r>
      </w:hyperlink>
      <w:r w:rsidRPr="0019653D">
        <w:t>》；各模块（</w:t>
      </w:r>
      <w:r w:rsidRPr="0019653D">
        <w:t>FI</w:t>
      </w:r>
      <w:r w:rsidRPr="0019653D">
        <w:t>、</w:t>
      </w:r>
      <w:r w:rsidRPr="0019653D">
        <w:t>MM</w:t>
      </w:r>
      <w:r w:rsidRPr="0019653D">
        <w:t>、</w:t>
      </w:r>
      <w:r w:rsidRPr="0019653D">
        <w:t>SD</w:t>
      </w:r>
      <w:r w:rsidRPr="0019653D">
        <w:t>）的自动</w:t>
      </w:r>
      <w:proofErr w:type="gramStart"/>
      <w:r w:rsidRPr="0019653D">
        <w:t>记帐</w:t>
      </w:r>
      <w:proofErr w:type="gramEnd"/>
      <w:r w:rsidRPr="0019653D">
        <w:t>配置清单合成一个文档，详见《</w:t>
      </w:r>
      <w:hyperlink r:id="rId6" w:tgtFrame="_blank" w:history="1">
        <w:r w:rsidRPr="0019653D">
          <w:t>配置</w:t>
        </w:r>
        <w:r w:rsidRPr="0019653D">
          <w:t>V0.8_</w:t>
        </w:r>
        <w:r w:rsidRPr="0019653D">
          <w:t>配置清单</w:t>
        </w:r>
        <w:r w:rsidRPr="0019653D">
          <w:t>(</w:t>
        </w:r>
        <w:r w:rsidRPr="0019653D">
          <w:t>自动</w:t>
        </w:r>
        <w:proofErr w:type="gramStart"/>
        <w:r w:rsidRPr="0019653D">
          <w:t>记帐</w:t>
        </w:r>
        <w:proofErr w:type="gramEnd"/>
        <w:r w:rsidRPr="0019653D">
          <w:t>)</w:t>
        </w:r>
      </w:hyperlink>
      <w:r w:rsidRPr="0019653D">
        <w:t>》。本配置中，由于字段状态变式的数据量较大，单独列成文档详见《</w:t>
      </w:r>
      <w:hyperlink r:id="rId7" w:tgtFrame="_blank" w:history="1">
        <w:r w:rsidRPr="0019653D">
          <w:t>配置</w:t>
        </w:r>
        <w:r w:rsidRPr="0019653D">
          <w:t>V0.8_</w:t>
        </w:r>
        <w:r w:rsidRPr="0019653D">
          <w:t>配置清单</w:t>
        </w:r>
        <w:r w:rsidRPr="0019653D">
          <w:t>(</w:t>
        </w:r>
        <w:r w:rsidRPr="0019653D">
          <w:t>字段状态变式</w:t>
        </w:r>
        <w:r w:rsidRPr="0019653D">
          <w:t>)</w:t>
        </w:r>
      </w:hyperlink>
      <w:r w:rsidRPr="0019653D">
        <w:t>》。</w:t>
      </w:r>
    </w:p>
    <w:p w:rsidR="004E5667" w:rsidRPr="0019653D" w:rsidRDefault="004E5667" w:rsidP="004E5667">
      <w:r w:rsidRPr="0019653D">
        <w:t>2.  FI</w:t>
      </w:r>
      <w:r w:rsidRPr="0019653D">
        <w:t>模块配置清单</w:t>
      </w:r>
    </w:p>
    <w:p w:rsidR="004E5667" w:rsidRPr="0019653D" w:rsidRDefault="004E5667" w:rsidP="004E5667">
      <w:r w:rsidRPr="0019653D">
        <w:t>2.1  </w:t>
      </w:r>
      <w:r w:rsidRPr="0019653D">
        <w:t>定义公司代码</w:t>
      </w:r>
    </w:p>
    <w:p w:rsidR="004E5667" w:rsidRPr="0019653D" w:rsidRDefault="004E5667" w:rsidP="004E5667">
      <w:r w:rsidRPr="0019653D">
        <w:t>    </w:t>
      </w:r>
      <w:r w:rsidRPr="0019653D">
        <w:t>本方案只定义一个公司代码，示例数据如下，操作文档详见《</w:t>
      </w:r>
      <w:hyperlink r:id="rId8" w:tgtFrame="_blank" w:history="1">
        <w:r w:rsidRPr="0019653D">
          <w:t>定义公司代码</w:t>
        </w:r>
      </w:hyperlink>
      <w:r w:rsidRPr="0019653D">
        <w:t>》。</w:t>
      </w:r>
      <w:r w:rsidRPr="0019653D"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1185"/>
        <w:gridCol w:w="3495"/>
      </w:tblGrid>
      <w:tr w:rsidR="004E5667" w:rsidRPr="0019653D" w:rsidTr="004E5667">
        <w:trPr>
          <w:tblCellSpacing w:w="0" w:type="dxa"/>
          <w:jc w:val="center"/>
        </w:trPr>
        <w:tc>
          <w:tcPr>
            <w:tcW w:w="26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1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34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示例数据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条目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C100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枫竹丹青有限责任公司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附加数据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城市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北京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国家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CN </w:t>
            </w:r>
            <w:r w:rsidRPr="0019653D">
              <w:t>中国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货币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CNY </w:t>
            </w:r>
            <w:r w:rsidRPr="0019653D">
              <w:t>人民币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语言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ZH </w:t>
            </w:r>
            <w:r w:rsidRPr="0019653D">
              <w:t>中文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编辑地址</w:t>
            </w:r>
            <w:r w:rsidRPr="0019653D">
              <w:t>→</w:t>
            </w:r>
            <w:r w:rsidRPr="0019653D">
              <w:t>名称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标题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枫竹丹青有限责任公司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编辑地址</w:t>
            </w:r>
            <w:r w:rsidRPr="0019653D">
              <w:t>→</w:t>
            </w:r>
            <w:r w:rsidRPr="0019653D">
              <w:t>检查项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搜索项</w:t>
            </w:r>
            <w:r w:rsidRPr="0019653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枫竹丹青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编辑地址</w:t>
            </w:r>
            <w:r w:rsidRPr="0019653D">
              <w:t>→</w:t>
            </w:r>
            <w:r w:rsidRPr="0019653D">
              <w:t>街道地址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街道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丰台区大红门西路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牌号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2077</w:t>
            </w:r>
            <w:r w:rsidRPr="0019653D">
              <w:t>号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邮政编码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100068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城市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北京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国家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CN </w:t>
            </w:r>
            <w:r w:rsidRPr="0019653D">
              <w:t>中国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地区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010 </w:t>
            </w:r>
            <w:r w:rsidRPr="0019653D">
              <w:t>北京</w:t>
            </w:r>
          </w:p>
        </w:tc>
      </w:tr>
    </w:tbl>
    <w:p w:rsidR="004E5667" w:rsidRPr="0019653D" w:rsidRDefault="004E5667" w:rsidP="004E5667">
      <w:r w:rsidRPr="0019653D">
        <w:t>2.2  </w:t>
      </w:r>
      <w:r w:rsidRPr="0019653D">
        <w:t>定义公司</w:t>
      </w:r>
    </w:p>
    <w:p w:rsidR="004E5667" w:rsidRPr="0019653D" w:rsidRDefault="004E5667" w:rsidP="004E5667">
      <w:r w:rsidRPr="0019653D">
        <w:t>    </w:t>
      </w:r>
      <w:r w:rsidRPr="0019653D">
        <w:t>本方案只定义一个公司，它其实是个选配项，不影响后续的业务操作。示例数据如下，操作文档详见《</w:t>
      </w:r>
      <w:hyperlink r:id="rId9" w:tgtFrame="_blank" w:history="1">
        <w:r w:rsidRPr="0019653D">
          <w:t>定义公司</w:t>
        </w:r>
      </w:hyperlink>
      <w:r w:rsidRPr="0019653D">
        <w:t>》。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1035"/>
        <w:gridCol w:w="3735"/>
      </w:tblGrid>
      <w:tr w:rsidR="004E5667" w:rsidRPr="0019653D" w:rsidTr="004E5667">
        <w:trPr>
          <w:tblCellSpacing w:w="0" w:type="dxa"/>
          <w:jc w:val="center"/>
        </w:trPr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10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3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示例数据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2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lastRenderedPageBreak/>
              <w:t>条目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UC100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枫竹丹青有限责任公司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2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详细信息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街区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丰台区大红门西路</w:t>
            </w:r>
            <w:r w:rsidRPr="0019653D">
              <w:t>2077</w:t>
            </w:r>
            <w:r w:rsidRPr="0019653D">
              <w:t>号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邮政信箱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&lt;</w:t>
            </w:r>
            <w:r w:rsidRPr="0019653D">
              <w:t>空</w:t>
            </w:r>
            <w:r w:rsidRPr="0019653D">
              <w:t>&gt;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邮政编码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100068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城市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北京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国家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CN </w:t>
            </w:r>
            <w:r w:rsidRPr="0019653D">
              <w:t>中国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语言代码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ZH </w:t>
            </w:r>
            <w:r w:rsidRPr="0019653D">
              <w:t>中文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货币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CNY</w:t>
            </w:r>
          </w:p>
        </w:tc>
      </w:tr>
    </w:tbl>
    <w:p w:rsidR="004E5667" w:rsidRPr="0019653D" w:rsidRDefault="004E5667" w:rsidP="004E5667">
      <w:r w:rsidRPr="0019653D">
        <w:t>2.3  </w:t>
      </w:r>
      <w:r w:rsidRPr="0019653D">
        <w:t>给公司代码分配公司</w:t>
      </w:r>
    </w:p>
    <w:p w:rsidR="004E5667" w:rsidRPr="0019653D" w:rsidRDefault="004E5667" w:rsidP="004E5667">
      <w:r w:rsidRPr="0019653D">
        <w:t>    </w:t>
      </w:r>
      <w:r w:rsidRPr="0019653D">
        <w:t>当公司代码和公司创建后，则需要给公司代码分配公司。示例数据如下，操作文档详见《</w:t>
      </w:r>
      <w:hyperlink r:id="rId10" w:tgtFrame="_blank" w:history="1">
        <w:r w:rsidRPr="0019653D">
          <w:t>给公司代码分配公司</w:t>
        </w:r>
      </w:hyperlink>
      <w:r w:rsidRPr="0019653D">
        <w:t>》。</w:t>
      </w:r>
      <w:r w:rsidRPr="0019653D"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1260"/>
        <w:gridCol w:w="3960"/>
      </w:tblGrid>
      <w:tr w:rsidR="004E5667" w:rsidRPr="0019653D" w:rsidTr="004E5667">
        <w:trPr>
          <w:tblCellSpacing w:w="0" w:type="dxa"/>
          <w:jc w:val="center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1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3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C100 </w:t>
            </w:r>
            <w:r w:rsidRPr="0019653D">
              <w:t>枫竹丹青有限责任公司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UC100</w:t>
            </w:r>
            <w:r w:rsidRPr="0019653D">
              <w:t>枫竹丹青有限责任公司</w:t>
            </w:r>
          </w:p>
        </w:tc>
      </w:tr>
    </w:tbl>
    <w:p w:rsidR="004E5667" w:rsidRPr="0019653D" w:rsidRDefault="004E5667" w:rsidP="004E5667">
      <w:r w:rsidRPr="0019653D">
        <w:t>2.4  </w:t>
      </w:r>
      <w:r w:rsidRPr="0019653D">
        <w:t>定义科目表</w:t>
      </w:r>
    </w:p>
    <w:p w:rsidR="004E5667" w:rsidRPr="0019653D" w:rsidRDefault="004E5667" w:rsidP="004E5667">
      <w:r w:rsidRPr="0019653D">
        <w:t>    </w:t>
      </w:r>
      <w:r w:rsidRPr="0019653D">
        <w:t>本方案定义一个科目表，科目表的级别比公司代码高。示例数据如下。操作文档详见《</w:t>
      </w:r>
      <w:hyperlink r:id="rId11" w:tgtFrame="_blank" w:history="1">
        <w:r w:rsidRPr="0019653D">
          <w:t>定义科目表</w:t>
        </w:r>
      </w:hyperlink>
      <w:r w:rsidRPr="0019653D">
        <w:t>》。</w:t>
      </w:r>
      <w:r w:rsidRPr="0019653D"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365"/>
        <w:gridCol w:w="4305"/>
      </w:tblGrid>
      <w:tr w:rsidR="004E5667" w:rsidRPr="0019653D" w:rsidTr="004E5667">
        <w:trPr>
          <w:tblCellSpacing w:w="0" w:type="dxa"/>
          <w:jc w:val="center"/>
        </w:trPr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4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示例数据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条目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proofErr w:type="gramStart"/>
            <w:r w:rsidRPr="0019653D">
              <w:t>帐目</w:t>
            </w:r>
            <w:proofErr w:type="gramEnd"/>
            <w:r w:rsidRPr="0019653D">
              <w:t>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FQCC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说明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枫竹丹青集团科目表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通用说明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维护语言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ZH </w:t>
            </w:r>
            <w:r w:rsidRPr="0019653D">
              <w:t>中文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proofErr w:type="gramStart"/>
            <w:r w:rsidRPr="0019653D">
              <w:t>总帐</w:t>
            </w:r>
            <w:proofErr w:type="gramEnd"/>
            <w:r w:rsidRPr="0019653D">
              <w:t>科目号长度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8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集成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成本控制集成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手工创建成本要素</w:t>
            </w:r>
          </w:p>
        </w:tc>
      </w:tr>
    </w:tbl>
    <w:p w:rsidR="004E5667" w:rsidRPr="0019653D" w:rsidRDefault="004E5667" w:rsidP="004E5667">
      <w:r w:rsidRPr="0019653D">
        <w:t>2.5  </w:t>
      </w:r>
      <w:r w:rsidRPr="0019653D">
        <w:t>给公司代码分配科目表</w:t>
      </w:r>
    </w:p>
    <w:p w:rsidR="004E5667" w:rsidRPr="0019653D" w:rsidRDefault="004E5667" w:rsidP="004E5667">
      <w:r w:rsidRPr="0019653D">
        <w:t>    </w:t>
      </w:r>
      <w:r w:rsidRPr="0019653D">
        <w:t>给公司代码分配科目表，由于只定义了一个公司代码，所以只需定义一条数据。示例数据如下，操作见《</w:t>
      </w:r>
      <w:hyperlink r:id="rId12" w:tgtFrame="_blank" w:history="1">
        <w:r w:rsidRPr="0019653D">
          <w:t>给公司代码分配科目表</w:t>
        </w:r>
      </w:hyperlink>
      <w:r w:rsidRPr="0019653D">
        <w:t>》。</w:t>
      </w:r>
      <w:r w:rsidRPr="0019653D">
        <w:t xml:space="preserve"> 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711"/>
        <w:gridCol w:w="5198"/>
      </w:tblGrid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C100 </w:t>
            </w:r>
            <w:r w:rsidRPr="0019653D">
              <w:t>枫竹丹青有限责任公司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科目表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FQCC</w:t>
            </w:r>
            <w:r w:rsidRPr="0019653D">
              <w:t>枫竹丹青集团科目表</w:t>
            </w:r>
          </w:p>
        </w:tc>
      </w:tr>
    </w:tbl>
    <w:p w:rsidR="004E5667" w:rsidRPr="0019653D" w:rsidRDefault="004E5667" w:rsidP="004E5667">
      <w:r w:rsidRPr="0019653D">
        <w:t>2.6  </w:t>
      </w:r>
      <w:r w:rsidRPr="0019653D">
        <w:t>维护科目组</w:t>
      </w:r>
      <w:r w:rsidRPr="0019653D">
        <w:t>(</w:t>
      </w:r>
      <w:r w:rsidRPr="0019653D">
        <w:t>复制法</w:t>
      </w:r>
      <w:r w:rsidRPr="0019653D">
        <w:t>)</w:t>
      </w:r>
    </w:p>
    <w:p w:rsidR="004E5667" w:rsidRPr="0019653D" w:rsidRDefault="004E5667" w:rsidP="004E5667">
      <w:r w:rsidRPr="0019653D">
        <w:t>    </w:t>
      </w:r>
      <w:r w:rsidRPr="0019653D">
        <w:t>本版本的科目</w:t>
      </w:r>
      <w:proofErr w:type="gramStart"/>
      <w:r w:rsidRPr="0019653D">
        <w:t>组维护</w:t>
      </w:r>
      <w:proofErr w:type="gramEnd"/>
      <w:r w:rsidRPr="0019653D">
        <w:t>采用复制法，复制示例的</w:t>
      </w:r>
      <w:r w:rsidRPr="0019653D">
        <w:t>CACN</w:t>
      </w:r>
      <w:r w:rsidRPr="0019653D">
        <w:t>科目表所属的</w:t>
      </w:r>
      <w:r w:rsidRPr="0019653D">
        <w:t>5</w:t>
      </w:r>
      <w:r w:rsidRPr="0019653D">
        <w:t>个科目组，并对起始、终止</w:t>
      </w:r>
      <w:proofErr w:type="gramStart"/>
      <w:r w:rsidRPr="0019653D">
        <w:t>帐号</w:t>
      </w:r>
      <w:proofErr w:type="gramEnd"/>
      <w:r w:rsidRPr="0019653D">
        <w:t>进行重新定义。示例数据见下，操作详见《</w:t>
      </w:r>
      <w:hyperlink r:id="rId13" w:tgtFrame="_blank" w:history="1">
        <w:r w:rsidRPr="0019653D">
          <w:t>定义科目组</w:t>
        </w:r>
        <w:r w:rsidRPr="0019653D">
          <w:t>(</w:t>
        </w:r>
        <w:r w:rsidRPr="0019653D">
          <w:t>复制法</w:t>
        </w:r>
        <w:r w:rsidRPr="0019653D">
          <w:t>)</w:t>
        </w:r>
      </w:hyperlink>
      <w:r w:rsidRPr="0019653D">
        <w:t>》。</w:t>
      </w:r>
      <w:r w:rsidRPr="0019653D">
        <w:t xml:space="preserve"> </w:t>
      </w:r>
    </w:p>
    <w:tbl>
      <w:tblPr>
        <w:tblW w:w="52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3150"/>
      </w:tblGrid>
      <w:tr w:rsidR="004E5667" w:rsidRPr="0019653D" w:rsidTr="004E5667">
        <w:trPr>
          <w:tblCellSpacing w:w="0" w:type="dxa"/>
          <w:jc w:val="center"/>
        </w:trPr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源科目表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CACN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目的科目表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FQCC</w:t>
            </w:r>
            <w:r w:rsidRPr="0019653D">
              <w:t>枫竹丹青集团科目表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复制的科目组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ANL. </w:t>
            </w:r>
            <w:r w:rsidRPr="0019653D">
              <w:t>资产科目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ERG. </w:t>
            </w:r>
            <w:r w:rsidRPr="0019653D">
              <w:t>损益表科目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FIN. </w:t>
            </w:r>
            <w:r w:rsidRPr="0019653D">
              <w:t>会计科目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MAT. </w:t>
            </w:r>
            <w:r w:rsidRPr="0019653D">
              <w:t>物料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SAKO </w:t>
            </w:r>
            <w:r w:rsidRPr="0019653D">
              <w:t>总</w:t>
            </w:r>
            <w:proofErr w:type="gramStart"/>
            <w:r w:rsidRPr="0019653D">
              <w:t>分类帐</w:t>
            </w:r>
            <w:proofErr w:type="gramEnd"/>
            <w:r w:rsidRPr="0019653D">
              <w:t>科目</w:t>
            </w:r>
          </w:p>
        </w:tc>
      </w:tr>
    </w:tbl>
    <w:p w:rsidR="004E5667" w:rsidRPr="0019653D" w:rsidRDefault="004E5667" w:rsidP="004E5667">
      <w:r w:rsidRPr="0019653D">
        <w:t>表</w:t>
      </w:r>
      <w:r w:rsidRPr="0019653D">
        <w:t xml:space="preserve">2.6.1 </w:t>
      </w:r>
      <w:r w:rsidRPr="0019653D">
        <w:t>复制的数据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110"/>
        <w:gridCol w:w="2310"/>
        <w:gridCol w:w="1710"/>
        <w:gridCol w:w="1710"/>
      </w:tblGrid>
      <w:tr w:rsidR="004E5667" w:rsidRPr="0019653D" w:rsidTr="004E5667">
        <w:trPr>
          <w:tblCellSpacing w:w="0" w:type="dxa"/>
          <w:jc w:val="center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科目组</w:t>
            </w:r>
          </w:p>
        </w:tc>
        <w:tc>
          <w:tcPr>
            <w:tcW w:w="11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科目组</w:t>
            </w:r>
          </w:p>
        </w:tc>
        <w:tc>
          <w:tcPr>
            <w:tcW w:w="23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名称</w:t>
            </w:r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起始</w:t>
            </w:r>
            <w:proofErr w:type="gramStart"/>
            <w:r w:rsidRPr="0019653D">
              <w:t>帐户</w:t>
            </w:r>
            <w:proofErr w:type="gramEnd"/>
          </w:p>
        </w:tc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终止</w:t>
            </w:r>
            <w:proofErr w:type="gramStart"/>
            <w:r w:rsidRPr="0019653D">
              <w:t>帐户</w:t>
            </w:r>
            <w:proofErr w:type="gramEnd"/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ANL.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资产科目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99999999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ERG.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损益报表科目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99999999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FIN.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会计科目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99999999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MAT.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物料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99999999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SAKO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总</w:t>
            </w:r>
            <w:proofErr w:type="gramStart"/>
            <w:r w:rsidRPr="0019653D">
              <w:t>分类帐</w:t>
            </w:r>
            <w:proofErr w:type="gramEnd"/>
            <w:r w:rsidRPr="0019653D">
              <w:t>科目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99999999</w:t>
            </w:r>
          </w:p>
        </w:tc>
      </w:tr>
    </w:tbl>
    <w:p w:rsidR="004E5667" w:rsidRPr="0019653D" w:rsidRDefault="004E5667" w:rsidP="004E5667">
      <w:r w:rsidRPr="0019653D">
        <w:t>表</w:t>
      </w:r>
      <w:r w:rsidRPr="0019653D">
        <w:t xml:space="preserve">2.6.2 </w:t>
      </w:r>
      <w:r w:rsidRPr="0019653D">
        <w:t>复制后的修改数据</w:t>
      </w:r>
    </w:p>
    <w:p w:rsidR="004E5667" w:rsidRPr="0019653D" w:rsidRDefault="004E5667" w:rsidP="004E5667">
      <w:r w:rsidRPr="0019653D">
        <w:t>2.7  </w:t>
      </w:r>
      <w:r w:rsidRPr="0019653D">
        <w:t>给公司代码分配会计年度变式</w:t>
      </w:r>
      <w:r w:rsidRPr="0019653D">
        <w:t>(Fiscal Year Variant)</w:t>
      </w:r>
    </w:p>
    <w:p w:rsidR="004E5667" w:rsidRPr="0019653D" w:rsidRDefault="004E5667" w:rsidP="004E5667">
      <w:r w:rsidRPr="0019653D">
        <w:t>    </w:t>
      </w:r>
      <w:r w:rsidRPr="0019653D">
        <w:t>本版本的会计年度变</w:t>
      </w:r>
      <w:proofErr w:type="gramStart"/>
      <w:r w:rsidRPr="0019653D">
        <w:t>式采用</w:t>
      </w:r>
      <w:proofErr w:type="gramEnd"/>
      <w:r w:rsidRPr="0019653D">
        <w:t>示例数据中的</w:t>
      </w:r>
      <w:r w:rsidRPr="0019653D">
        <w:t>K4</w:t>
      </w:r>
      <w:r w:rsidRPr="0019653D">
        <w:t>，对公司代码只需分配就可以了，操作详见《</w:t>
      </w:r>
      <w:hyperlink r:id="rId14" w:tgtFrame="_blank" w:history="1">
        <w:r w:rsidRPr="0019653D">
          <w:t>给公司代码分配会计年度变式</w:t>
        </w:r>
        <w:r w:rsidRPr="0019653D">
          <w:t>(Fiscal Year Variant)</w:t>
        </w:r>
      </w:hyperlink>
      <w:r w:rsidRPr="0019653D">
        <w:t>》。</w:t>
      </w:r>
      <w:r w:rsidRPr="0019653D">
        <w:t xml:space="preserve"> </w:t>
      </w:r>
    </w:p>
    <w:tbl>
      <w:tblPr>
        <w:tblW w:w="802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1318"/>
        <w:gridCol w:w="1318"/>
        <w:gridCol w:w="3623"/>
      </w:tblGrid>
      <w:tr w:rsidR="004E5667" w:rsidRPr="0019653D" w:rsidTr="004E5667">
        <w:trPr>
          <w:tblCellSpacing w:w="0" w:type="dxa"/>
          <w:jc w:val="center"/>
        </w:trPr>
        <w:tc>
          <w:tcPr>
            <w:tcW w:w="1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1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数据</w:t>
            </w:r>
          </w:p>
        </w:tc>
        <w:tc>
          <w:tcPr>
            <w:tcW w:w="3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说明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C100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枫竹丹青有限责任公司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会计年度变式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K4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 </w:t>
            </w:r>
            <w:r w:rsidRPr="0019653D">
              <w:t>公历年，</w:t>
            </w:r>
            <w:r w:rsidRPr="0019653D">
              <w:t>12</w:t>
            </w:r>
            <w:r w:rsidRPr="0019653D">
              <w:t>普通期间，</w:t>
            </w:r>
            <w:r w:rsidRPr="0019653D">
              <w:t>4</w:t>
            </w:r>
            <w:r w:rsidRPr="0019653D">
              <w:t>特殊期间</w:t>
            </w:r>
          </w:p>
        </w:tc>
      </w:tr>
    </w:tbl>
    <w:p w:rsidR="004E5667" w:rsidRPr="0019653D" w:rsidRDefault="004E5667" w:rsidP="004E5667">
      <w:r w:rsidRPr="0019653D">
        <w:t>2.8  </w:t>
      </w:r>
      <w:r w:rsidRPr="0019653D">
        <w:t>定义未</w:t>
      </w:r>
      <w:proofErr w:type="gramStart"/>
      <w:r w:rsidRPr="0019653D">
        <w:t>清帐</w:t>
      </w:r>
      <w:proofErr w:type="gramEnd"/>
      <w:r w:rsidRPr="0019653D">
        <w:t>会计</w:t>
      </w:r>
      <w:proofErr w:type="gramStart"/>
      <w:r w:rsidRPr="0019653D">
        <w:t>期间变</w:t>
      </w:r>
      <w:proofErr w:type="gramEnd"/>
      <w:r w:rsidRPr="0019653D">
        <w:t>式</w:t>
      </w:r>
      <w:r w:rsidRPr="0019653D">
        <w:t>(Variants for Open Posting Periods)</w:t>
      </w:r>
    </w:p>
    <w:p w:rsidR="004E5667" w:rsidRPr="0019653D" w:rsidRDefault="004E5667" w:rsidP="004E5667">
      <w:r w:rsidRPr="0019653D">
        <w:t>    </w:t>
      </w:r>
      <w:r w:rsidRPr="0019653D">
        <w:t>示例数据如下，操作详见《</w:t>
      </w:r>
      <w:hyperlink r:id="rId15" w:tgtFrame="_blank" w:history="1">
        <w:r w:rsidRPr="0019653D">
          <w:t>定义未</w:t>
        </w:r>
        <w:proofErr w:type="gramStart"/>
        <w:r w:rsidRPr="0019653D">
          <w:t>清帐</w:t>
        </w:r>
        <w:proofErr w:type="gramEnd"/>
        <w:r w:rsidRPr="0019653D">
          <w:t>会计期间变式</w:t>
        </w:r>
      </w:hyperlink>
      <w:r w:rsidRPr="0019653D">
        <w:t>》。</w:t>
      </w:r>
      <w:r w:rsidRPr="0019653D">
        <w:t xml:space="preserve"> </w:t>
      </w:r>
    </w:p>
    <w:tbl>
      <w:tblPr>
        <w:tblW w:w="802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9"/>
        <w:gridCol w:w="1451"/>
        <w:gridCol w:w="4785"/>
      </w:tblGrid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变式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FQCC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47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枫竹丹青</w:t>
            </w:r>
            <w:proofErr w:type="gramStart"/>
            <w:r w:rsidRPr="0019653D">
              <w:t>记帐期间变</w:t>
            </w:r>
            <w:proofErr w:type="gramEnd"/>
            <w:r w:rsidRPr="0019653D">
              <w:t>式</w:t>
            </w:r>
          </w:p>
        </w:tc>
      </w:tr>
    </w:tbl>
    <w:p w:rsidR="004E5667" w:rsidRPr="0019653D" w:rsidRDefault="004E5667" w:rsidP="004E5667">
      <w:r w:rsidRPr="0019653D">
        <w:t>2.9  </w:t>
      </w:r>
      <w:r w:rsidRPr="0019653D">
        <w:t>维护未结清</w:t>
      </w:r>
      <w:proofErr w:type="gramStart"/>
      <w:r w:rsidRPr="0019653D">
        <w:t>过帐期间变</w:t>
      </w:r>
      <w:proofErr w:type="gramEnd"/>
      <w:r w:rsidRPr="0019653D">
        <w:t>式</w:t>
      </w:r>
    </w:p>
    <w:p w:rsidR="004E5667" w:rsidRPr="0019653D" w:rsidRDefault="004E5667" w:rsidP="004E5667">
      <w:r w:rsidRPr="0019653D">
        <w:t>    </w:t>
      </w:r>
      <w:r w:rsidRPr="0019653D">
        <w:t>维护未</w:t>
      </w:r>
      <w:proofErr w:type="gramStart"/>
      <w:r w:rsidRPr="0019653D">
        <w:t>清帐</w:t>
      </w:r>
      <w:proofErr w:type="gramEnd"/>
      <w:r w:rsidRPr="0019653D">
        <w:t>会计期间的</w:t>
      </w:r>
      <w:proofErr w:type="gramStart"/>
      <w:r w:rsidRPr="0019653D">
        <w:t>开帐</w:t>
      </w:r>
      <w:proofErr w:type="gramEnd"/>
      <w:r w:rsidRPr="0019653D">
        <w:t>时间，示例数据如下，操作详见《</w:t>
      </w:r>
      <w:hyperlink r:id="rId16" w:tgtFrame="_blank" w:history="1">
        <w:r w:rsidRPr="0019653D">
          <w:t>维护未结清</w:t>
        </w:r>
        <w:proofErr w:type="gramStart"/>
        <w:r w:rsidRPr="0019653D">
          <w:t>过帐</w:t>
        </w:r>
        <w:proofErr w:type="gramEnd"/>
        <w:r w:rsidRPr="0019653D">
          <w:t>期间变式</w:t>
        </w:r>
      </w:hyperlink>
      <w:r w:rsidRPr="0019653D">
        <w:t>》。</w:t>
      </w:r>
      <w:r w:rsidRPr="0019653D">
        <w:t xml:space="preserve">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1"/>
        <w:gridCol w:w="2607"/>
        <w:gridCol w:w="514"/>
        <w:gridCol w:w="2427"/>
        <w:gridCol w:w="1997"/>
      </w:tblGrid>
      <w:tr w:rsidR="004E5667" w:rsidRPr="0019653D" w:rsidTr="004E5667">
        <w:trPr>
          <w:tblCellSpacing w:w="0" w:type="dxa"/>
          <w:jc w:val="center"/>
        </w:trPr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序号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示例数据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说明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变式名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FQCC </w:t>
            </w:r>
            <w:r w:rsidRPr="0019653D">
              <w:t>枫竹丹青</w:t>
            </w:r>
            <w:proofErr w:type="gramStart"/>
            <w:r w:rsidRPr="0019653D">
              <w:t>记帐期间变</w:t>
            </w:r>
            <w:proofErr w:type="gramEnd"/>
            <w:r w:rsidRPr="0019653D">
              <w:t>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 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A(</w:t>
            </w:r>
            <w:proofErr w:type="gramStart"/>
            <w:r w:rsidRPr="0019653D">
              <w:t>帐户</w:t>
            </w:r>
            <w:proofErr w:type="gramEnd"/>
            <w:r w:rsidRPr="0019653D">
              <w:t>类型或覆盖</w:t>
            </w:r>
            <w:r w:rsidRPr="0019653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+(</w:t>
            </w:r>
            <w:r w:rsidRPr="0019653D">
              <w:t>对所有</w:t>
            </w:r>
            <w:proofErr w:type="gramStart"/>
            <w:r w:rsidRPr="0019653D">
              <w:t>帐户</w:t>
            </w:r>
            <w:proofErr w:type="gramEnd"/>
            <w:r w:rsidRPr="0019653D">
              <w:t>类型</w:t>
            </w:r>
            <w:r w:rsidRPr="0019653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 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起始科目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(</w:t>
            </w:r>
            <w:r w:rsidRPr="0019653D">
              <w:t>空</w:t>
            </w:r>
            <w:r w:rsidRPr="0019653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 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终止</w:t>
            </w:r>
            <w:proofErr w:type="gramStart"/>
            <w:r w:rsidRPr="0019653D">
              <w:t>帐户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(</w:t>
            </w:r>
            <w:r w:rsidRPr="0019653D">
              <w:t>空</w:t>
            </w:r>
            <w:r w:rsidRPr="0019653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 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普通帐期起始期间月</w:t>
            </w:r>
            <w:r w:rsidRPr="0019653D">
              <w:t>/</w:t>
            </w:r>
            <w:r w:rsidRPr="0019653D">
              <w:t>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1/2009 (</w:t>
            </w:r>
            <w:r w:rsidRPr="0019653D">
              <w:t>起始年及</w:t>
            </w:r>
            <w:r w:rsidRPr="0019653D">
              <w:t>1</w:t>
            </w:r>
            <w:r w:rsidRPr="0019653D">
              <w:t>月</w:t>
            </w:r>
            <w:r w:rsidRPr="0019653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年：本年号；</w:t>
            </w:r>
          </w:p>
          <w:p w:rsidR="004E5667" w:rsidRPr="0019653D" w:rsidRDefault="004E5667" w:rsidP="0019653D">
            <w:r w:rsidRPr="0019653D">
              <w:t>月：</w:t>
            </w:r>
            <w:r w:rsidRPr="0019653D">
              <w:t>1</w:t>
            </w:r>
            <w:r w:rsidRPr="0019653D">
              <w:t>月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普通帐期终止期间月</w:t>
            </w:r>
            <w:r w:rsidRPr="0019653D">
              <w:t>/</w:t>
            </w:r>
            <w:r w:rsidRPr="0019653D">
              <w:t>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12/2015 (</w:t>
            </w:r>
            <w:r w:rsidRPr="0019653D">
              <w:t>未来年及</w:t>
            </w:r>
            <w:r w:rsidRPr="0019653D">
              <w:t>12</w:t>
            </w:r>
            <w:r w:rsidRPr="0019653D">
              <w:t>月</w:t>
            </w:r>
            <w:r w:rsidRPr="0019653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年：未来年号；</w:t>
            </w:r>
          </w:p>
          <w:p w:rsidR="004E5667" w:rsidRPr="0019653D" w:rsidRDefault="004E5667" w:rsidP="0019653D">
            <w:r w:rsidRPr="0019653D">
              <w:t>月：</w:t>
            </w:r>
            <w:r w:rsidRPr="0019653D">
              <w:t>12</w:t>
            </w:r>
            <w:r w:rsidRPr="0019653D">
              <w:t>月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特别帐期起始期间月</w:t>
            </w:r>
            <w:r w:rsidRPr="0019653D">
              <w:t>/</w:t>
            </w:r>
            <w:r w:rsidRPr="0019653D">
              <w:t>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13/2009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年：本年号；</w:t>
            </w:r>
          </w:p>
          <w:p w:rsidR="004E5667" w:rsidRPr="0019653D" w:rsidRDefault="004E5667" w:rsidP="0019653D">
            <w:r w:rsidRPr="0019653D">
              <w:t>月：特别帐期开始月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特别帐期终止期间月</w:t>
            </w:r>
            <w:r w:rsidRPr="0019653D">
              <w:t>/</w:t>
            </w:r>
            <w:r w:rsidRPr="0019653D">
              <w:t>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16/2015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年：未来年号；</w:t>
            </w:r>
          </w:p>
          <w:p w:rsidR="004E5667" w:rsidRPr="0019653D" w:rsidRDefault="004E5667" w:rsidP="0019653D">
            <w:r w:rsidRPr="0019653D">
              <w:t>月：特别帐期结束月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2,3, 4,5, 6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变式名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FQCC </w:t>
            </w:r>
            <w:r w:rsidRPr="0019653D">
              <w:t>枫竹丹青</w:t>
            </w:r>
            <w:proofErr w:type="gramStart"/>
            <w:r w:rsidRPr="0019653D">
              <w:t>记帐期间变</w:t>
            </w:r>
            <w:proofErr w:type="gramEnd"/>
            <w:r w:rsidRPr="0019653D">
              <w:t>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 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A(</w:t>
            </w:r>
            <w:proofErr w:type="gramStart"/>
            <w:r w:rsidRPr="0019653D">
              <w:t>帐户</w:t>
            </w:r>
            <w:proofErr w:type="gramEnd"/>
            <w:r w:rsidRPr="0019653D">
              <w:t>类型或覆盖</w:t>
            </w:r>
            <w:r w:rsidRPr="0019653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A,D,K,M,S (</w:t>
            </w:r>
            <w:r w:rsidRPr="0019653D">
              <w:t>多个条目</w:t>
            </w:r>
            <w:r w:rsidRPr="0019653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 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起始科目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 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终止</w:t>
            </w:r>
            <w:proofErr w:type="gramStart"/>
            <w:r w:rsidRPr="0019653D">
              <w:t>帐户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99999999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 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普通帐期起始期间月</w:t>
            </w:r>
            <w:r w:rsidRPr="0019653D">
              <w:t>/</w:t>
            </w:r>
            <w:r w:rsidRPr="0019653D">
              <w:t>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1/2009 (</w:t>
            </w:r>
            <w:r w:rsidRPr="0019653D">
              <w:t>起始年及</w:t>
            </w:r>
            <w:r w:rsidRPr="0019653D">
              <w:t>1</w:t>
            </w:r>
            <w:r w:rsidRPr="0019653D">
              <w:t>月</w:t>
            </w:r>
            <w:r w:rsidRPr="0019653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年：本年号；</w:t>
            </w:r>
          </w:p>
          <w:p w:rsidR="004E5667" w:rsidRPr="0019653D" w:rsidRDefault="004E5667" w:rsidP="0019653D">
            <w:r w:rsidRPr="0019653D">
              <w:t>月：</w:t>
            </w:r>
            <w:r w:rsidRPr="0019653D">
              <w:t>1</w:t>
            </w:r>
            <w:r w:rsidRPr="0019653D">
              <w:t>月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普通帐期终止期间月</w:t>
            </w:r>
            <w:r w:rsidRPr="0019653D">
              <w:t>/</w:t>
            </w:r>
            <w:r w:rsidRPr="0019653D">
              <w:t>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12/2015 (</w:t>
            </w:r>
            <w:r w:rsidRPr="0019653D">
              <w:t>未来年及</w:t>
            </w:r>
            <w:r w:rsidRPr="0019653D">
              <w:t>12</w:t>
            </w:r>
            <w:r w:rsidRPr="0019653D">
              <w:t>月</w:t>
            </w:r>
            <w:r w:rsidRPr="0019653D"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年：未来年号；</w:t>
            </w:r>
          </w:p>
          <w:p w:rsidR="004E5667" w:rsidRPr="0019653D" w:rsidRDefault="004E5667" w:rsidP="0019653D">
            <w:r w:rsidRPr="0019653D">
              <w:t>月：</w:t>
            </w:r>
            <w:r w:rsidRPr="0019653D">
              <w:t>12</w:t>
            </w:r>
            <w:r w:rsidRPr="0019653D">
              <w:t>月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特别帐期起始期间月</w:t>
            </w:r>
            <w:r w:rsidRPr="0019653D">
              <w:t>/</w:t>
            </w:r>
            <w:r w:rsidRPr="0019653D">
              <w:t>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13/2009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年：本年号；</w:t>
            </w:r>
          </w:p>
          <w:p w:rsidR="004E5667" w:rsidRPr="0019653D" w:rsidRDefault="004E5667" w:rsidP="0019653D">
            <w:r w:rsidRPr="0019653D">
              <w:t>月：特别帐期开始月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特别帐期终止期间月</w:t>
            </w:r>
            <w:r w:rsidRPr="0019653D">
              <w:t>/</w:t>
            </w:r>
            <w:r w:rsidRPr="0019653D">
              <w:t>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16/2015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年：未来年号；</w:t>
            </w:r>
          </w:p>
          <w:p w:rsidR="004E5667" w:rsidRPr="0019653D" w:rsidRDefault="004E5667" w:rsidP="0019653D">
            <w:r w:rsidRPr="0019653D">
              <w:t>月：特别帐期结束月</w:t>
            </w:r>
          </w:p>
        </w:tc>
      </w:tr>
    </w:tbl>
    <w:p w:rsidR="004E5667" w:rsidRPr="0019653D" w:rsidRDefault="004E5667" w:rsidP="004E5667">
      <w:r w:rsidRPr="0019653D">
        <w:t xml:space="preserve">2.10 </w:t>
      </w:r>
      <w:r w:rsidRPr="0019653D">
        <w:t>给公司代码分配未</w:t>
      </w:r>
      <w:proofErr w:type="gramStart"/>
      <w:r w:rsidRPr="0019653D">
        <w:t>清帐期间变</w:t>
      </w:r>
      <w:proofErr w:type="gramEnd"/>
      <w:r w:rsidRPr="0019653D">
        <w:t>式</w:t>
      </w:r>
    </w:p>
    <w:p w:rsidR="004E5667" w:rsidRPr="0019653D" w:rsidRDefault="004E5667" w:rsidP="004E5667">
      <w:r w:rsidRPr="0019653D">
        <w:t>    </w:t>
      </w:r>
      <w:r w:rsidRPr="0019653D">
        <w:t>示例数据如下，操作详见《</w:t>
      </w:r>
      <w:hyperlink r:id="rId17" w:tgtFrame="_blank" w:history="1">
        <w:r w:rsidRPr="0019653D">
          <w:t>给公司代码分配未</w:t>
        </w:r>
        <w:proofErr w:type="gramStart"/>
        <w:r w:rsidRPr="0019653D">
          <w:t>清帐</w:t>
        </w:r>
        <w:proofErr w:type="gramEnd"/>
        <w:r w:rsidRPr="0019653D">
          <w:t>期间变式</w:t>
        </w:r>
      </w:hyperlink>
      <w:r w:rsidRPr="0019653D">
        <w:t>》。</w:t>
      </w:r>
      <w:r w:rsidRPr="0019653D">
        <w:t xml:space="preserve"> 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1260"/>
        <w:gridCol w:w="3090"/>
      </w:tblGrid>
      <w:tr w:rsidR="004E5667" w:rsidRPr="0019653D" w:rsidTr="004E5667">
        <w:trPr>
          <w:tblCellSpacing w:w="0" w:type="dxa"/>
          <w:jc w:val="center"/>
        </w:trPr>
        <w:tc>
          <w:tcPr>
            <w:tcW w:w="32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C100 </w:t>
            </w:r>
            <w:r w:rsidRPr="0019653D">
              <w:t>枫竹丹青有限责任公司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未结清</w:t>
            </w:r>
            <w:proofErr w:type="gramStart"/>
            <w:r w:rsidRPr="0019653D">
              <w:t>过帐期间变</w:t>
            </w:r>
            <w:proofErr w:type="gramEnd"/>
            <w:r w:rsidRPr="0019653D">
              <w:t>式名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FQCC</w:t>
            </w:r>
            <w:r w:rsidRPr="0019653D">
              <w:t>枫竹丹青</w:t>
            </w:r>
            <w:proofErr w:type="gramStart"/>
            <w:r w:rsidRPr="0019653D">
              <w:t>记帐期间变</w:t>
            </w:r>
            <w:proofErr w:type="gramEnd"/>
            <w:r w:rsidRPr="0019653D">
              <w:t>式</w:t>
            </w:r>
          </w:p>
        </w:tc>
      </w:tr>
    </w:tbl>
    <w:p w:rsidR="004E5667" w:rsidRPr="0019653D" w:rsidRDefault="004E5667" w:rsidP="004E5667">
      <w:r w:rsidRPr="0019653D">
        <w:t xml:space="preserve">2.11 </w:t>
      </w:r>
      <w:r w:rsidRPr="0019653D">
        <w:t>定义信贷控制范围</w:t>
      </w:r>
      <w:r w:rsidRPr="0019653D">
        <w:t>(Credit Control Area)</w:t>
      </w:r>
    </w:p>
    <w:p w:rsidR="004E5667" w:rsidRPr="0019653D" w:rsidRDefault="004E5667" w:rsidP="004E5667">
      <w:r w:rsidRPr="0019653D">
        <w:t>    </w:t>
      </w:r>
      <w:r w:rsidRPr="0019653D">
        <w:t>示例数据如下，操作详见《</w:t>
      </w:r>
      <w:hyperlink r:id="rId18" w:tgtFrame="_blank" w:tooltip="定义信贷控制范围" w:history="1">
        <w:r w:rsidRPr="0019653D">
          <w:t>定义信贷控制范围</w:t>
        </w:r>
      </w:hyperlink>
      <w:r w:rsidRPr="0019653D">
        <w:t>》。</w:t>
      </w:r>
      <w:r w:rsidRPr="0019653D">
        <w:t xml:space="preserve"> 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4E5667" w:rsidRPr="0019653D" w:rsidTr="004E5667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43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贷方控制范围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FQCC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说明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枫竹丹青信贷控制范围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货币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CNY</w:t>
            </w:r>
          </w:p>
        </w:tc>
      </w:tr>
    </w:tbl>
    <w:p w:rsidR="004E5667" w:rsidRPr="0019653D" w:rsidRDefault="004E5667" w:rsidP="004E5667">
      <w:r w:rsidRPr="0019653D">
        <w:t xml:space="preserve">2.12 </w:t>
      </w:r>
      <w:r w:rsidRPr="0019653D">
        <w:t>给公司代码分配信贷控制范围</w:t>
      </w:r>
    </w:p>
    <w:p w:rsidR="004E5667" w:rsidRPr="0019653D" w:rsidRDefault="004E5667" w:rsidP="004E5667">
      <w:r w:rsidRPr="0019653D">
        <w:t>    </w:t>
      </w:r>
      <w:r w:rsidRPr="0019653D">
        <w:t>示例数据如下，操作详见《</w:t>
      </w:r>
      <w:hyperlink r:id="rId19" w:tgtFrame="_blank" w:tooltip="给公司代码分配信贷控制范围" w:history="1">
        <w:r w:rsidRPr="0019653D">
          <w:t>给公司代码分配信贷控制范围</w:t>
        </w:r>
      </w:hyperlink>
      <w:r w:rsidRPr="0019653D">
        <w:t>》。</w:t>
      </w:r>
      <w:r w:rsidRPr="0019653D">
        <w:t xml:space="preserve"> 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0"/>
        <w:gridCol w:w="642"/>
        <w:gridCol w:w="4693"/>
      </w:tblGrid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C100 </w:t>
            </w:r>
            <w:r w:rsidRPr="0019653D">
              <w:t>枫竹丹青有限责任公司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信贷控制范围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FQCC</w:t>
            </w:r>
            <w:r w:rsidRPr="0019653D">
              <w:t>枫竹丹青信贷控制范围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覆盖</w:t>
            </w:r>
            <w:r w:rsidRPr="0019653D">
              <w:t>CC</w:t>
            </w:r>
            <w:r w:rsidRPr="0019653D">
              <w:t>范围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&lt;</w:t>
            </w:r>
            <w:r w:rsidRPr="0019653D">
              <w:t>空</w:t>
            </w:r>
            <w:r w:rsidRPr="0019653D">
              <w:t>&gt;</w:t>
            </w:r>
          </w:p>
        </w:tc>
      </w:tr>
    </w:tbl>
    <w:p w:rsidR="004E5667" w:rsidRPr="0019653D" w:rsidRDefault="004E5667" w:rsidP="004E5667">
      <w:r w:rsidRPr="0019653D">
        <w:t xml:space="preserve">2.13 </w:t>
      </w:r>
      <w:r w:rsidRPr="0019653D">
        <w:t>定义字段状态变式</w:t>
      </w:r>
      <w:r w:rsidRPr="0019653D">
        <w:t>(Field Status Variants)</w:t>
      </w:r>
    </w:p>
    <w:p w:rsidR="004E5667" w:rsidRPr="0019653D" w:rsidRDefault="004E5667" w:rsidP="004E5667">
      <w:r w:rsidRPr="0019653D">
        <w:t>    </w:t>
      </w:r>
      <w:r w:rsidRPr="0019653D">
        <w:t>以下示例数据仅是字段状态变式的名称定义，全部数据参见《配置</w:t>
      </w:r>
      <w:r w:rsidRPr="0019653D">
        <w:t>V0.8_</w:t>
      </w:r>
      <w:r w:rsidRPr="0019653D">
        <w:t>配置清单</w:t>
      </w:r>
      <w:r w:rsidRPr="0019653D">
        <w:t>(</w:t>
      </w:r>
      <w:r w:rsidRPr="0019653D">
        <w:t>字段状态变式</w:t>
      </w:r>
      <w:r w:rsidRPr="0019653D">
        <w:t>)</w:t>
      </w:r>
      <w:r w:rsidRPr="0019653D">
        <w:t>》，操作详见《</w:t>
      </w:r>
      <w:hyperlink r:id="rId20" w:tgtFrame="_blank" w:tooltip="定义字段状态变式" w:history="1">
        <w:r w:rsidRPr="0019653D">
          <w:t>定义字段状态变式</w:t>
        </w:r>
      </w:hyperlink>
      <w:r w:rsidRPr="0019653D">
        <w:t>》。</w:t>
      </w:r>
      <w:r w:rsidRPr="0019653D">
        <w:t xml:space="preserve"> 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9"/>
        <w:gridCol w:w="658"/>
        <w:gridCol w:w="3838"/>
      </w:tblGrid>
      <w:tr w:rsidR="004E5667" w:rsidRPr="0019653D" w:rsidTr="004E5667">
        <w:trPr>
          <w:tblCellSpacing w:w="0" w:type="dxa"/>
          <w:jc w:val="center"/>
        </w:trPr>
        <w:tc>
          <w:tcPr>
            <w:tcW w:w="17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变式条目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变式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FQ01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字段状态名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枫竹丹青字段状态变式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字段状态组条目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字段状态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C001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文本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一般</w:t>
            </w:r>
            <w:r w:rsidRPr="0019653D">
              <w:t>(</w:t>
            </w:r>
            <w:r w:rsidRPr="0019653D">
              <w:t>带文本</w:t>
            </w:r>
            <w:r w:rsidRPr="0019653D">
              <w:t>,</w:t>
            </w:r>
            <w:r w:rsidRPr="0019653D">
              <w:t>分配</w:t>
            </w:r>
            <w:r w:rsidRPr="0019653D">
              <w:t>)</w:t>
            </w:r>
          </w:p>
        </w:tc>
      </w:tr>
    </w:tbl>
    <w:p w:rsidR="004E5667" w:rsidRPr="0019653D" w:rsidRDefault="004E5667" w:rsidP="004E5667">
      <w:r w:rsidRPr="0019653D">
        <w:t xml:space="preserve">2.14 </w:t>
      </w:r>
      <w:r w:rsidRPr="0019653D">
        <w:t>给公司代码分配字段状态变式</w:t>
      </w:r>
    </w:p>
    <w:p w:rsidR="004E5667" w:rsidRPr="0019653D" w:rsidRDefault="004E5667" w:rsidP="004E5667">
      <w:r w:rsidRPr="0019653D">
        <w:t>    </w:t>
      </w:r>
      <w:r w:rsidRPr="0019653D">
        <w:t>示例数据如下，操作见《</w:t>
      </w:r>
      <w:hyperlink r:id="rId21" w:tgtFrame="_blank" w:tooltip="给公司代码分配字段状态变式" w:history="1">
        <w:r w:rsidRPr="0019653D">
          <w:t>给公司代码分配字段状态变式</w:t>
        </w:r>
      </w:hyperlink>
      <w:r w:rsidRPr="0019653D">
        <w:t>》。</w:t>
      </w:r>
      <w:r w:rsidRPr="0019653D">
        <w:t xml:space="preserve"> </w:t>
      </w:r>
    </w:p>
    <w:tbl>
      <w:tblPr>
        <w:tblW w:w="76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715"/>
        <w:gridCol w:w="4425"/>
      </w:tblGrid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lastRenderedPageBreak/>
              <w:t>公司代码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C100 </w:t>
            </w:r>
            <w:r w:rsidRPr="0019653D">
              <w:t>枫竹丹青有限责任公司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字段状态变式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FQ01</w:t>
            </w:r>
            <w:r w:rsidRPr="0019653D">
              <w:t>枫竹丹青字段状态变式</w:t>
            </w:r>
          </w:p>
        </w:tc>
      </w:tr>
    </w:tbl>
    <w:p w:rsidR="004E5667" w:rsidRPr="0019653D" w:rsidRDefault="004E5667" w:rsidP="004E5667">
      <w:r w:rsidRPr="0019653D">
        <w:t>2.15</w:t>
      </w:r>
      <w:r w:rsidRPr="0019653D">
        <w:t>激活销售会计核算的成本</w:t>
      </w:r>
    </w:p>
    <w:p w:rsidR="004E5667" w:rsidRPr="0019653D" w:rsidRDefault="004E5667" w:rsidP="004E5667">
      <w:r w:rsidRPr="0019653D">
        <w:t>    </w:t>
      </w:r>
      <w:r w:rsidRPr="0019653D">
        <w:t>示例数据如下，操作见《</w:t>
      </w:r>
      <w:hyperlink r:id="rId22" w:tgtFrame="_blank" w:tooltip="激活销售会计核算的成本" w:history="1">
        <w:r w:rsidRPr="0019653D">
          <w:t>激活销售会计核算的成本</w:t>
        </w:r>
      </w:hyperlink>
      <w:r w:rsidRPr="0019653D">
        <w:t>》，此步操作也可在维护公司代码的全局性参数中完成。</w:t>
      </w:r>
      <w:r w:rsidRPr="0019653D">
        <w:t xml:space="preserve"> 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711"/>
        <w:gridCol w:w="5198"/>
      </w:tblGrid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C100 </w:t>
            </w:r>
            <w:r w:rsidRPr="0019653D">
              <w:t>枫竹丹青有限责任公司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COS</w:t>
            </w:r>
            <w:r w:rsidRPr="0019653D">
              <w:t>状态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激活的</w:t>
            </w:r>
          </w:p>
        </w:tc>
      </w:tr>
    </w:tbl>
    <w:p w:rsidR="004E5667" w:rsidRPr="0019653D" w:rsidRDefault="004E5667" w:rsidP="004E5667">
      <w:r w:rsidRPr="0019653D">
        <w:t>2.16</w:t>
      </w:r>
      <w:r w:rsidRPr="0019653D">
        <w:t>维护公司代码的全局性参数</w:t>
      </w:r>
      <w:r w:rsidRPr="0019653D">
        <w:t>(Global Parameters)</w:t>
      </w:r>
    </w:p>
    <w:p w:rsidR="004E5667" w:rsidRPr="0019653D" w:rsidRDefault="004E5667" w:rsidP="004E5667">
      <w:r w:rsidRPr="0019653D">
        <w:t>    </w:t>
      </w:r>
      <w:r w:rsidRPr="0019653D">
        <w:t>示例数据如下，操作见《</w:t>
      </w:r>
      <w:hyperlink r:id="rId23" w:tgtFrame="_blank" w:tooltip="维护公司代码的全局性参数" w:history="1">
        <w:r w:rsidRPr="0019653D">
          <w:t>维护公司代码的全局性参数</w:t>
        </w:r>
      </w:hyperlink>
      <w:r w:rsidRPr="0019653D">
        <w:t>》。</w:t>
      </w:r>
      <w:r w:rsidRPr="0019653D">
        <w:t xml:space="preserve"> </w:t>
      </w:r>
    </w:p>
    <w:tbl>
      <w:tblPr>
        <w:tblW w:w="76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5"/>
        <w:gridCol w:w="1330"/>
        <w:gridCol w:w="4230"/>
      </w:tblGrid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3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条目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C100 </w:t>
            </w:r>
            <w:r w:rsidRPr="0019653D">
              <w:t>枫竹丹青有限责任公司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细目</w:t>
            </w:r>
            <w:r w:rsidRPr="0019653D">
              <w:t>→</w:t>
            </w:r>
            <w:r w:rsidRPr="0019653D">
              <w:t>会计组织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proofErr w:type="gramStart"/>
            <w:r w:rsidRPr="0019653D">
              <w:t>帐目</w:t>
            </w:r>
            <w:proofErr w:type="gramEnd"/>
            <w:r w:rsidRPr="0019653D">
              <w:t>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FQCC </w:t>
            </w:r>
            <w:r w:rsidRPr="0019653D">
              <w:t>枫竹丹青字段状态组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国家表</w:t>
            </w:r>
            <w:r w:rsidRPr="0019653D">
              <w:t>/</w:t>
            </w:r>
            <w:r w:rsidRPr="0019653D">
              <w:t>科目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&lt;</w:t>
            </w:r>
            <w:r w:rsidRPr="0019653D">
              <w:t>空</w:t>
            </w:r>
            <w:r w:rsidRPr="0019653D">
              <w:t>&gt;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UC100 </w:t>
            </w:r>
            <w:r w:rsidRPr="0019653D">
              <w:t>枫竹丹青有限责任公司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会计年度变式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K4 </w:t>
            </w:r>
            <w:r w:rsidRPr="0019653D">
              <w:t>公历年</w:t>
            </w:r>
            <w:r w:rsidRPr="0019653D">
              <w:t>, 4</w:t>
            </w:r>
            <w:r w:rsidRPr="0019653D">
              <w:t>个特别期间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细目</w:t>
            </w:r>
            <w:r w:rsidRPr="0019653D">
              <w:t>→</w:t>
            </w:r>
            <w:r w:rsidRPr="0019653D">
              <w:t>处理参数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字段状态变式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FQ01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proofErr w:type="gramStart"/>
            <w:r w:rsidRPr="0019653D">
              <w:t>记帐期间变</w:t>
            </w:r>
            <w:proofErr w:type="gramEnd"/>
            <w:r w:rsidRPr="0019653D">
              <w:t>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FQ01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建议的会计年度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√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定义缺省的起息日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√</w:t>
            </w:r>
          </w:p>
        </w:tc>
      </w:tr>
    </w:tbl>
    <w:p w:rsidR="004E5667" w:rsidRPr="0019653D" w:rsidRDefault="004E5667" w:rsidP="004E5667">
      <w:r w:rsidRPr="0019653D">
        <w:t xml:space="preserve">2.17 </w:t>
      </w:r>
      <w:r w:rsidRPr="0019653D">
        <w:t>定义留存收益科目</w:t>
      </w:r>
      <w:r w:rsidRPr="0019653D">
        <w:t>(Retained Earnings Account)</w:t>
      </w:r>
    </w:p>
    <w:p w:rsidR="004E5667" w:rsidRPr="0019653D" w:rsidRDefault="004E5667" w:rsidP="004E5667">
      <w:r w:rsidRPr="0019653D">
        <w:t>    </w:t>
      </w:r>
      <w:r w:rsidRPr="0019653D">
        <w:t>这是在未创建</w:t>
      </w:r>
      <w:proofErr w:type="gramStart"/>
      <w:r w:rsidRPr="0019653D">
        <w:t>总帐</w:t>
      </w:r>
      <w:proofErr w:type="gramEnd"/>
      <w:r w:rsidRPr="0019653D">
        <w:t>科目下的配置，操作中会有黄色警告提示可不必理会，操作见《</w:t>
      </w:r>
      <w:hyperlink r:id="rId24" w:tgtFrame="_blank" w:tooltip="定义留存收益科目" w:history="1">
        <w:r w:rsidRPr="0019653D">
          <w:t>定义留存收益科目</w:t>
        </w:r>
      </w:hyperlink>
      <w:r w:rsidRPr="0019653D">
        <w:t>》。</w:t>
      </w:r>
      <w:r w:rsidRPr="0019653D">
        <w:t xml:space="preserve"> </w:t>
      </w:r>
    </w:p>
    <w:tbl>
      <w:tblPr>
        <w:tblW w:w="76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1153"/>
        <w:gridCol w:w="3982"/>
      </w:tblGrid>
      <w:tr w:rsidR="004E5667" w:rsidRPr="0019653D" w:rsidTr="004E5667">
        <w:trPr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11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R/O/S</w:t>
            </w:r>
          </w:p>
        </w:tc>
        <w:tc>
          <w:tcPr>
            <w:tcW w:w="3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示例数据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科目表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FQCC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自动</w:t>
            </w:r>
            <w:proofErr w:type="gramStart"/>
            <w:r w:rsidRPr="0019653D">
              <w:t>记帐</w:t>
            </w:r>
            <w:proofErr w:type="gramEnd"/>
            <w:r w:rsidRPr="0019653D">
              <w:t>→</w:t>
            </w:r>
            <w:r w:rsidRPr="0019653D">
              <w:t>科目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损益表科目类型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X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proofErr w:type="gramStart"/>
            <w:r w:rsidRPr="0019653D">
              <w:t>帐户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91000000</w:t>
            </w:r>
          </w:p>
        </w:tc>
      </w:tr>
    </w:tbl>
    <w:p w:rsidR="004E5667" w:rsidRPr="0019653D" w:rsidRDefault="004E5667" w:rsidP="004E5667">
      <w:r w:rsidRPr="0019653D">
        <w:t xml:space="preserve">2.18 </w:t>
      </w:r>
      <w:r w:rsidRPr="0019653D">
        <w:t>维护雇员容差组</w:t>
      </w:r>
    </w:p>
    <w:p w:rsidR="004E5667" w:rsidRPr="0019653D" w:rsidRDefault="004E5667" w:rsidP="004E5667">
      <w:r w:rsidRPr="0019653D">
        <w:t>    </w:t>
      </w:r>
      <w:r w:rsidRPr="0019653D">
        <w:t>维护雇员容差组，这定义了雇员在做会计凭证时的金额限制。示例数据如下，操作详见《</w:t>
      </w:r>
      <w:hyperlink r:id="rId25" w:tgtFrame="_blank" w:tooltip="维护雇员容差组" w:history="1">
        <w:r w:rsidRPr="0019653D">
          <w:t>维护雇员容差组</w:t>
        </w:r>
      </w:hyperlink>
      <w:r w:rsidRPr="0019653D">
        <w:t>》。</w:t>
      </w:r>
      <w:r w:rsidRPr="0019653D">
        <w:t xml:space="preserve"> </w:t>
      </w:r>
    </w:p>
    <w:tbl>
      <w:tblPr>
        <w:tblW w:w="76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5"/>
        <w:gridCol w:w="900"/>
        <w:gridCol w:w="2700"/>
      </w:tblGrid>
      <w:tr w:rsidR="004E5667" w:rsidRPr="0019653D" w:rsidTr="004E5667">
        <w:trPr>
          <w:tblCellSpacing w:w="0" w:type="dxa"/>
          <w:jc w:val="center"/>
        </w:trPr>
        <w:tc>
          <w:tcPr>
            <w:tcW w:w="4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R/O/S</w:t>
            </w: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示例数据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条目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容差组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&lt;</w:t>
            </w:r>
            <w:r w:rsidRPr="0019653D">
              <w:t>空</w:t>
            </w:r>
            <w:r w:rsidRPr="0019653D">
              <w:t>&gt;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C100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proofErr w:type="gramStart"/>
            <w:r w:rsidRPr="0019653D">
              <w:t>记帐</w:t>
            </w:r>
            <w:proofErr w:type="gramEnd"/>
            <w:r w:rsidRPr="0019653D">
              <w:t>程序的上限金额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每个凭证的金额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1,000,000.00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每个未</w:t>
            </w:r>
            <w:proofErr w:type="gramStart"/>
            <w:r w:rsidRPr="0019653D">
              <w:t>清帐户项目</w:t>
            </w:r>
            <w:proofErr w:type="gramEnd"/>
            <w:r w:rsidRPr="0019653D">
              <w:t>的金额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500,000.00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proofErr w:type="gramStart"/>
            <w:r w:rsidRPr="0019653D">
              <w:lastRenderedPageBreak/>
              <w:t>每个行项的</w:t>
            </w:r>
            <w:proofErr w:type="gramEnd"/>
            <w:r w:rsidRPr="0019653D">
              <w:t>现金折扣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2.000%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66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允许的支付差额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收入</w:t>
            </w:r>
            <w:r w:rsidRPr="0019653D">
              <w:t>&lt;</w:t>
            </w:r>
            <w:r w:rsidRPr="0019653D">
              <w:t>金额</w:t>
            </w:r>
            <w:r w:rsidRPr="0019653D">
              <w:t>/</w:t>
            </w:r>
            <w:r w:rsidRPr="0019653D">
              <w:t>百分比</w:t>
            </w:r>
            <w:r w:rsidRPr="0019653D">
              <w:t>/</w:t>
            </w:r>
            <w:r w:rsidRPr="0019653D">
              <w:t>现金折扣调整到</w:t>
            </w:r>
            <w:r w:rsidRPr="0019653D"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100.00 / 2% / 20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费用</w:t>
            </w:r>
            <w:r w:rsidRPr="0019653D">
              <w:t>&lt;</w:t>
            </w:r>
            <w:r w:rsidRPr="0019653D">
              <w:t>金额</w:t>
            </w:r>
            <w:r w:rsidRPr="0019653D">
              <w:t>/</w:t>
            </w:r>
            <w:r w:rsidRPr="0019653D">
              <w:t>百分比</w:t>
            </w:r>
            <w:r w:rsidRPr="0019653D">
              <w:t>/</w:t>
            </w:r>
            <w:r w:rsidRPr="0019653D">
              <w:t>现金折扣调整到</w:t>
            </w:r>
            <w:r w:rsidRPr="0019653D"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100.00 / 2% / 20</w:t>
            </w:r>
          </w:p>
        </w:tc>
      </w:tr>
    </w:tbl>
    <w:p w:rsidR="004E5667" w:rsidRPr="0019653D" w:rsidRDefault="004E5667" w:rsidP="004E5667">
      <w:r w:rsidRPr="0019653D">
        <w:t xml:space="preserve">2.19 </w:t>
      </w:r>
      <w:r w:rsidRPr="0019653D">
        <w:t>定义应收应付容差组</w:t>
      </w:r>
    </w:p>
    <w:p w:rsidR="004E5667" w:rsidRPr="0019653D" w:rsidRDefault="004E5667" w:rsidP="004E5667">
      <w:r w:rsidRPr="0019653D">
        <w:t>    </w:t>
      </w:r>
      <w:r w:rsidRPr="0019653D">
        <w:t>定义应收应付容差组，示例数据如下，操作详见《</w:t>
      </w:r>
      <w:hyperlink r:id="rId26" w:tgtFrame="_blank" w:tooltip="定义应收应付容差组" w:history="1">
        <w:r w:rsidRPr="0019653D">
          <w:t>定义应收应付容差组</w:t>
        </w:r>
      </w:hyperlink>
      <w:r w:rsidRPr="0019653D">
        <w:t>》。</w:t>
      </w:r>
      <w:r w:rsidRPr="0019653D">
        <w:t xml:space="preserve"> </w:t>
      </w:r>
    </w:p>
    <w:tbl>
      <w:tblPr>
        <w:tblW w:w="760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4"/>
        <w:gridCol w:w="1396"/>
        <w:gridCol w:w="4355"/>
      </w:tblGrid>
      <w:tr w:rsidR="004E5667" w:rsidRPr="0019653D" w:rsidTr="004E5667">
        <w:trPr>
          <w:tblCellSpacing w:w="0" w:type="dxa"/>
          <w:jc w:val="center"/>
        </w:trPr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项目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R/O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数据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条目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公司代码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C100 </w:t>
            </w:r>
            <w:r w:rsidRPr="0019653D">
              <w:t>枫竹丹青有限责任公司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容差组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FQ01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名称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枫竹丹青供应</w:t>
            </w:r>
            <w:proofErr w:type="gramStart"/>
            <w:r w:rsidRPr="0019653D">
              <w:t>商客户</w:t>
            </w:r>
            <w:proofErr w:type="gramEnd"/>
            <w:r w:rsidRPr="0019653D">
              <w:t>容差组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允许的支付差额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收益</w:t>
            </w:r>
            <w:r w:rsidRPr="0019653D">
              <w:t>(</w:t>
            </w:r>
            <w:r w:rsidRPr="0019653D">
              <w:t>金额</w:t>
            </w:r>
            <w:r w:rsidRPr="0019653D">
              <w:t>)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100.00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收益</w:t>
            </w:r>
            <w:r w:rsidRPr="0019653D">
              <w:t>(</w:t>
            </w:r>
            <w:r w:rsidRPr="0019653D">
              <w:t>百分比</w:t>
            </w:r>
            <w:r w:rsidRPr="0019653D">
              <w:t>)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5.0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损失</w:t>
            </w:r>
            <w:r w:rsidRPr="0019653D">
              <w:t>(</w:t>
            </w:r>
            <w:r w:rsidRPr="0019653D">
              <w:t>金额</w:t>
            </w:r>
            <w:r w:rsidRPr="0019653D">
              <w:t>)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5.0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损失</w:t>
            </w:r>
            <w:r w:rsidRPr="0019653D">
              <w:t>(</w:t>
            </w:r>
            <w:r w:rsidRPr="0019653D">
              <w:t>百分比</w:t>
            </w:r>
            <w:r w:rsidRPr="0019653D">
              <w:t>)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2.0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760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支付差额的</w:t>
            </w:r>
            <w:proofErr w:type="gramStart"/>
            <w:r w:rsidRPr="0019653D">
              <w:t>记帐</w:t>
            </w:r>
            <w:proofErr w:type="gramEnd"/>
            <w:r w:rsidRPr="0019653D">
              <w:t>剩余项的说明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固定的收付条件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 xml:space="preserve">0004 </w:t>
            </w:r>
            <w:r w:rsidRPr="0019653D">
              <w:t>立即应付的</w:t>
            </w:r>
            <w:r w:rsidRPr="0019653D">
              <w:t xml:space="preserve"> </w:t>
            </w:r>
            <w:r w:rsidRPr="0019653D">
              <w:t>净到期</w:t>
            </w:r>
            <w:r w:rsidRPr="0019653D">
              <w:t xml:space="preserve">  </w:t>
            </w:r>
            <w:r w:rsidRPr="0019653D">
              <w:t>结束</w:t>
            </w:r>
            <w:r w:rsidRPr="0019653D">
              <w:t xml:space="preserve"> </w:t>
            </w:r>
            <w:r w:rsidRPr="0019653D">
              <w:t>月的基准日期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只承提部分现金折扣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Y</w:t>
            </w:r>
          </w:p>
        </w:tc>
      </w:tr>
    </w:tbl>
    <w:p w:rsidR="004E5667" w:rsidRPr="0019653D" w:rsidRDefault="004E5667" w:rsidP="004E5667">
      <w:r w:rsidRPr="0019653D">
        <w:t xml:space="preserve">2.20 </w:t>
      </w:r>
      <w:r w:rsidRPr="0019653D">
        <w:t>维护会计凭证号范围</w:t>
      </w:r>
    </w:p>
    <w:p w:rsidR="004E5667" w:rsidRPr="0019653D" w:rsidRDefault="004E5667" w:rsidP="004E5667">
      <w:r w:rsidRPr="0019653D">
        <w:t>    </w:t>
      </w:r>
      <w:r w:rsidRPr="0019653D">
        <w:t>定义会计凭证号的范围，采用复制法，示例数据如下，操作详见《</w:t>
      </w:r>
      <w:hyperlink r:id="rId27" w:tgtFrame="_blank" w:tooltip="维护会计凭证号范围" w:history="1">
        <w:r w:rsidRPr="0019653D">
          <w:t>维护会计凭证号范围</w:t>
        </w:r>
      </w:hyperlink>
      <w:r w:rsidRPr="0019653D">
        <w:t>》。</w:t>
      </w:r>
      <w:r w:rsidRPr="0019653D">
        <w:t xml:space="preserve"> </w:t>
      </w:r>
    </w:p>
    <w:tbl>
      <w:tblPr>
        <w:tblW w:w="766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3885"/>
      </w:tblGrid>
      <w:tr w:rsidR="004E5667" w:rsidRPr="0019653D" w:rsidTr="004E5667">
        <w:trPr>
          <w:tblCellSpacing w:w="0" w:type="dxa"/>
          <w:jc w:val="center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源公司代码</w:t>
            </w:r>
          </w:p>
        </w:tc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0001</w:t>
            </w:r>
          </w:p>
        </w:tc>
      </w:tr>
      <w:tr w:rsidR="004E5667" w:rsidRPr="0019653D" w:rsidTr="004E566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目的公司代码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E5667" w:rsidRPr="0019653D" w:rsidRDefault="004E5667" w:rsidP="0019653D">
            <w:r w:rsidRPr="0019653D">
              <w:t>C100</w:t>
            </w:r>
          </w:p>
        </w:tc>
      </w:tr>
    </w:tbl>
    <w:p w:rsidR="00CC4FB1" w:rsidRDefault="004E5667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431"/>
    <w:rsid w:val="00313431"/>
    <w:rsid w:val="004E5667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653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008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19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sina.com.cn/s/blog_4e997c670100dusi.html" TargetMode="External"/><Relationship Id="rId13" Type="http://schemas.openxmlformats.org/officeDocument/2006/relationships/hyperlink" Target="http://blog.sina.com.cn/s/blog_4e997c670100dvvb.html" TargetMode="External"/><Relationship Id="rId18" Type="http://schemas.openxmlformats.org/officeDocument/2006/relationships/hyperlink" Target="http://blog.sina.com.cn/s/blog_4e997c670100dyhg.html" TargetMode="External"/><Relationship Id="rId26" Type="http://schemas.openxmlformats.org/officeDocument/2006/relationships/hyperlink" Target="http://blog.sina.com.cn/s/blog_4e997c670100e5ah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sina.com.cn/s/blog_4e997c670100dxu8.html" TargetMode="External"/><Relationship Id="rId7" Type="http://schemas.openxmlformats.org/officeDocument/2006/relationships/hyperlink" Target="http://blog.sina.com.cn/s/blog_4e997c670100to47.html" TargetMode="External"/><Relationship Id="rId12" Type="http://schemas.openxmlformats.org/officeDocument/2006/relationships/hyperlink" Target="http://blog.sina.com.cn/s/blog_4e997c670100dvem.html" TargetMode="External"/><Relationship Id="rId17" Type="http://schemas.openxmlformats.org/officeDocument/2006/relationships/hyperlink" Target="http://blog.sina.com.cn/s/blog_4e997c670100e1vg.html" TargetMode="External"/><Relationship Id="rId25" Type="http://schemas.openxmlformats.org/officeDocument/2006/relationships/hyperlink" Target="http://blog.sina.com.cn/s/blog_4e997c670100e3aj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log.sina.com.cn/s/blog_4e997c670100e1ve.html" TargetMode="External"/><Relationship Id="rId20" Type="http://schemas.openxmlformats.org/officeDocument/2006/relationships/hyperlink" Target="http://blog.sina.com.cn/s/blog_4e997c670100dxfa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blog.sina.com.cn/s/blog_4e997c670100tpr9.html" TargetMode="External"/><Relationship Id="rId11" Type="http://schemas.openxmlformats.org/officeDocument/2006/relationships/hyperlink" Target="http://blog.sina.com.cn/s/blog_4e997c670100dvei.html" TargetMode="External"/><Relationship Id="rId24" Type="http://schemas.openxmlformats.org/officeDocument/2006/relationships/hyperlink" Target="http://blog.sina.com.cn/s/blog_4e997c670100e2th.html" TargetMode="External"/><Relationship Id="rId5" Type="http://schemas.openxmlformats.org/officeDocument/2006/relationships/hyperlink" Target="http://blog.sina.com.cn/s/blog_4e997c670100twa1.html" TargetMode="External"/><Relationship Id="rId15" Type="http://schemas.openxmlformats.org/officeDocument/2006/relationships/hyperlink" Target="http://blog.sina.com.cn/s/blog_4e997c670100e1um.html" TargetMode="External"/><Relationship Id="rId23" Type="http://schemas.openxmlformats.org/officeDocument/2006/relationships/hyperlink" Target="http://blog.sina.com.cn/s/blog_4e997c670100e2cb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log.sina.com.cn/s/blog_4e997c670100dusu.html" TargetMode="External"/><Relationship Id="rId19" Type="http://schemas.openxmlformats.org/officeDocument/2006/relationships/hyperlink" Target="http://blog.sina.com.cn/s/blog_4e997c670100dyh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sina.com.cn/s/blog_4e997c670100dusq.html" TargetMode="External"/><Relationship Id="rId14" Type="http://schemas.openxmlformats.org/officeDocument/2006/relationships/hyperlink" Target="http://blog.sina.com.cn/s/blog_4e997c670100dvvq.html" TargetMode="External"/><Relationship Id="rId22" Type="http://schemas.openxmlformats.org/officeDocument/2006/relationships/hyperlink" Target="http://blog.sina.com.cn/s/blog_4e997c670100e2tf.html" TargetMode="External"/><Relationship Id="rId27" Type="http://schemas.openxmlformats.org/officeDocument/2006/relationships/hyperlink" Target="http://blog.sina.com.cn/s/blog_4e997c670100e2c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980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2012-08-12T12:03:00Z</dcterms:created>
  <dcterms:modified xsi:type="dcterms:W3CDTF">2012-08-12T12:04:00Z</dcterms:modified>
</cp:coreProperties>
</file>