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V0.8_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配置清单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(MM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模块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)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1.  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说明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MM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模块配置主要包含以下几个部份：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1.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组织结构的定义（工厂、采购组织等）；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2.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物料主数据关键字段的配置（采购组、物料组）；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3.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评估及自动记帐的配置；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4.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其它相关配置。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MM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模块的配置包含两大部分：基础配置和自动记帐配置。当在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模块维护了基本组织结构（公司代码等）后，才可以对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模块进行基础配置。当维护了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模块的总帐科目主数据后，才可以进行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模块的自动记帐的配置。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总帐科目主数据的维护详见《配置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V0.8_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主数据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_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总帐科目》（敬请期待）；各模块（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SD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）的自动记帐配置清单合成一个文档，详见《配置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V0.8_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配置清单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自动记帐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)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》（敬请期待）。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2.  MM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模块配置清单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定义工厂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本方案只定义一个工厂，数据如下表所示，操作详见《</w:t>
      </w:r>
      <w:hyperlink r:id="rId5" w:tgtFrame="_blank" w:tooltip="定义工厂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定义工厂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1755"/>
        <w:gridCol w:w="1320"/>
        <w:gridCol w:w="3435"/>
      </w:tblGrid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R/O/S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工厂编号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名称1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总部后勤工厂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细节→详细的信息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工厂日历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760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地址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标题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总部后勤工厂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09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街道地址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街道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丰台区大红门西路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门牌号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2077号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100068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城市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北京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国家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CN 中国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地区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010 北京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2.2  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给工厂分配公司代码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工厂定义后，将其分配给指定的公司代码，示例数据如下表所示，操作详见《</w:t>
      </w:r>
      <w:hyperlink r:id="rId6" w:tgtFrame="_blank" w:tooltip="给工厂分配公司代码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给工厂分配公司代码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2.3  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定义采购组织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本方案只定义一个采购组织。示例数据如下表所示，操作详见《</w:t>
      </w:r>
      <w:hyperlink r:id="rId7" w:tgtFrame="_blank" w:tooltip="定义采购组织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定义采购组织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320"/>
        <w:gridCol w:w="3435"/>
      </w:tblGrid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采购组织描述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总部采购组织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2.4  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给公司代码分配采购组织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采购组织定义后需分配给公司代码。示例数据如下表所示，操作详见《</w:t>
      </w:r>
      <w:hyperlink r:id="rId8" w:tgtFrame="_blank" w:tooltip="给公司代码分配采购组织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给公司代码分配采购组织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总部采购组织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枫竹丹青有限公司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2.5  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给工厂分配采购组织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采购组织再分配给工厂。示例数据如下表所示，操作详见《</w:t>
      </w:r>
      <w:hyperlink r:id="rId9" w:tgtFrame="_blank" w:tooltip="给工厂分配采购组织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给工厂分配采购组织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总部采购组织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2.6  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定义库存地点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在工厂下定义库存地点，本方案只定义一个库存地点。示例数据如下表所示，操作详见《</w:t>
      </w:r>
      <w:hyperlink r:id="rId10" w:tgtFrame="_blank" w:tooltip="定义库存地点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定义库存地点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库位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0001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描述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1#成品库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2.7  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定义采购组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定义一个采购组。示例数据如下表所示，操作详见《定义采购组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(Purchasing Group)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320"/>
        <w:gridCol w:w="3435"/>
      </w:tblGrid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PG1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采购组描述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贸易品采购组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2.8  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定义物料组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定义一个物料组。示例数据如下表所示，操作详见《</w:t>
      </w:r>
      <w:hyperlink r:id="rId11" w:tgtFrame="_blank" w:tooltip="定义物料组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定义物料组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物料组编码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M01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物料组描述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整机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2.9  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维护物料类型的数量、价值更新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本方案只维护贸易物料（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HAWA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）类型的数量、价值更新。示例数据如下表所示，操作详见《</w:t>
      </w:r>
      <w:hyperlink r:id="rId12" w:tgtFrame="_blank" w:tooltip="维护物料类型的数量、价值更新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维护物料类型的数量、价值更新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320"/>
        <w:gridCol w:w="3435"/>
      </w:tblGrid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物料类型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贸易物料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物料类型</w:t>
            </w: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→</w:t>
            </w: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数量/价值更新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评估范围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数量更新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值更新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2.10  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定义进项税代码缺省值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定义指定公司代码的进项税代码缺省值。示例数据如下表所示，操作详见《</w:t>
      </w:r>
      <w:hyperlink r:id="rId13" w:tgtFrame="_blank" w:tooltip="定义进项税代码缺省值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定义进项税代码缺省值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税码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J1 17%进项税，中国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2.11  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维护工厂库存的一般设置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维护新建工厂的常规库存设置。示例数据如下表所示，操作详见《</w:t>
      </w:r>
      <w:hyperlink r:id="rId14" w:tgtFrame="_blank" w:tooltip="维护工厂库存的一般设置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维护工厂库存的一般设置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26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1260"/>
        <w:gridCol w:w="2400"/>
      </w:tblGrid>
      <w:tr w:rsidR="002929FA" w:rsidRPr="002929FA" w:rsidTr="002929F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72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工厂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总部后勤工厂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72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货物移动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自动建立库存地点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交货完成的缺省值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726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库存盘点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库存类型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 仓库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可选择的单位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后台中的批次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2.12  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定义发生价差时的邮寄给采购的邮件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定义发生价差时的邮寄给采购的邮件。示例数据如下表所示，操作详见《</w:t>
      </w:r>
      <w:hyperlink r:id="rId15" w:tgtFrame="_blank" w:tooltip="定义发生价差时的邮寄给采购的邮件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定义发生价差时的邮寄给采购的邮件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65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1155"/>
        <w:gridCol w:w="3585"/>
      </w:tblGrid>
      <w:tr w:rsidR="002929FA" w:rsidRPr="002929FA" w:rsidTr="002929FA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自动邮件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&lt;空&gt;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2.13  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定义物料管理的容差范围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定义物料管理业务操作的各类容差。示例数据如下表所示，操作详见《</w:t>
      </w:r>
      <w:hyperlink r:id="rId16" w:tgtFrame="_blank" w:tooltip="定义物料管理的容差范围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定义物料管理的容差范围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5"/>
        <w:gridCol w:w="1260"/>
        <w:gridCol w:w="3630"/>
      </w:tblGrid>
      <w:tr w:rsidR="002929FA" w:rsidRPr="002929FA" w:rsidTr="002929F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条目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容差代码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PE 价格差异：采购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C100枫竹丹青有限责任公司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细节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上限→百分比→检查限制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3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Y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7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上限→百分比→容差限制%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5.00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2.14  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维护供应商号码范围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维护供应商的号码范围。示例数据如下表所示，操作详见《</w:t>
      </w:r>
      <w:hyperlink r:id="rId17" w:tgtFrame="_blank" w:tooltip="维护供应商号码范围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维护供应商号码范围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65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组编号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K1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起始号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T-K10000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终止号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T-K99999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当前编号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外部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2.15  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维护物料主数据的编号范围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维护物料主数据的编号范围，先维护号码组，再分配给物料类型。示例数据如下两表所示，操作详见《</w:t>
      </w:r>
      <w:hyperlink r:id="rId18" w:tgtFrame="_blank" w:tooltip="维护物料主数据的编号范围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维护物料主数据的编号范围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65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R/O/S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组文本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枫竹丹青集团专用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起始号(内部)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200001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终止号(内部)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299999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当前编号(内部)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0(默认值)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起始号(外部)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T-M10000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终止号(外部)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T-M99999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lastRenderedPageBreak/>
        <w:t>示例数据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号码组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)</w:t>
      </w:r>
    </w:p>
    <w:tbl>
      <w:tblPr>
        <w:tblW w:w="657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750"/>
        <w:gridCol w:w="3330"/>
      </w:tblGrid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R/O/S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组文本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枫竹丹青集团专用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24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分配的物料类型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</w:t>
            </w:r>
          </w:p>
        </w:tc>
        <w:tc>
          <w:tcPr>
            <w:tcW w:w="33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HAWA 贸易物品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分配数据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2.16  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查看评估级别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系统默认的评估级别是工厂，在做后续配置之前，请先查看是否正确，操作详见《</w:t>
      </w:r>
      <w:hyperlink r:id="rId19" w:tgtFrame="_blank" w:tooltip="查看评估级别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查看评估级别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2.17  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查看并维护评估控制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查看并激活评估分组控制。示例数据如下表所示，操作详见《</w:t>
      </w:r>
      <w:hyperlink r:id="rId20" w:tgtFrame="_blank" w:tooltip="查看并维护评估控制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查看并维护评估控制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评估代码活动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2.18  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评估范围群集分组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定义评估分组代码并分配给评估范围（评估范围默认为工厂）。示例数据如下表所示，操作详见《</w:t>
      </w:r>
      <w:hyperlink r:id="rId21" w:tgtFrame="_blank" w:tooltip="评估范围群集分组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评估范围群集分组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评估范围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评估分组代码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FQ01</w:t>
            </w:r>
          </w:p>
        </w:tc>
      </w:tr>
    </w:tbl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outlineLvl w:val="3"/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</w:pP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2.19  </w:t>
      </w:r>
      <w:r w:rsidRPr="002929FA">
        <w:rPr>
          <w:rFonts w:ascii="simsun" w:eastAsia="宋体" w:hAnsi="simsun" w:cs="宋体"/>
          <w:b/>
          <w:bCs/>
          <w:color w:val="494949"/>
          <w:kern w:val="0"/>
          <w:sz w:val="24"/>
          <w:szCs w:val="24"/>
        </w:rPr>
        <w:t>维护物料管理的初始期间</w:t>
      </w:r>
    </w:p>
    <w:p w:rsidR="002929FA" w:rsidRPr="002929FA" w:rsidRDefault="002929FA" w:rsidP="002929F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2929F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2929FA">
        <w:rPr>
          <w:rFonts w:ascii="simsun" w:eastAsia="宋体" w:hAnsi="simsun" w:cs="宋体"/>
          <w:color w:val="494949"/>
          <w:kern w:val="0"/>
          <w:szCs w:val="21"/>
        </w:rPr>
        <w:t>维护指定公司代码的物料管理的初始期间，也就是开帐时间。示例数据如下表所示，操作详见《</w:t>
      </w:r>
      <w:hyperlink r:id="rId22" w:tgtFrame="_blank" w:tooltip="维护物料管理的初始期间" w:history="1">
        <w:r w:rsidRPr="002929FA">
          <w:rPr>
            <w:rFonts w:ascii="simsun" w:eastAsia="宋体" w:hAnsi="simsun" w:cs="宋体"/>
            <w:color w:val="91266C"/>
            <w:kern w:val="0"/>
            <w:szCs w:val="21"/>
          </w:rPr>
          <w:t>维护物料管理的初始期间</w:t>
        </w:r>
      </w:hyperlink>
      <w:r w:rsidRPr="002929FA">
        <w:rPr>
          <w:rFonts w:ascii="simsun" w:eastAsia="宋体" w:hAnsi="simsun" w:cs="宋体"/>
          <w:color w:val="494949"/>
          <w:kern w:val="0"/>
          <w:szCs w:val="21"/>
        </w:rPr>
        <w:t>》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900"/>
        <w:gridCol w:w="2910"/>
      </w:tblGrid>
      <w:tr w:rsidR="002929FA" w:rsidRPr="002929FA" w:rsidTr="002929FA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年份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2009 (记帐开始年)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月份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5 (记帐开始月)</w:t>
            </w:r>
          </w:p>
        </w:tc>
      </w:tr>
      <w:tr w:rsidR="002929FA" w:rsidRPr="002929FA" w:rsidTr="002929FA">
        <w:trPr>
          <w:tblCellSpacing w:w="0" w:type="dxa"/>
          <w:jc w:val="center"/>
        </w:trPr>
        <w:tc>
          <w:tcPr>
            <w:tcW w:w="3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lastRenderedPageBreak/>
              <w:t>允许记帐到上一期间（后记帐）ABp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</w:t>
            </w:r>
          </w:p>
        </w:tc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29FA" w:rsidRPr="002929FA" w:rsidRDefault="002929FA" w:rsidP="002929FA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2929F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√</w:t>
            </w:r>
          </w:p>
        </w:tc>
      </w:tr>
    </w:tbl>
    <w:p w:rsidR="00CC4FB1" w:rsidRDefault="002929FA">
      <w:pPr>
        <w:rPr>
          <w:rFonts w:hint="eastAsia"/>
        </w:rPr>
      </w:pPr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1C"/>
    <w:rsid w:val="002929FA"/>
    <w:rsid w:val="006362C1"/>
    <w:rsid w:val="00B80B1C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29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29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929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29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29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929F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929FA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92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929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929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2929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929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929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2929FA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929FA"/>
    <w:rPr>
      <w:strike w:val="0"/>
      <w:dstrike w:val="0"/>
      <w:color w:val="91266C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2929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64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47685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3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25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dvw6.html" TargetMode="External"/><Relationship Id="rId13" Type="http://schemas.openxmlformats.org/officeDocument/2006/relationships/hyperlink" Target="http://blog.sina.com.cn/s/blog_4e997c670100e4o1.html" TargetMode="External"/><Relationship Id="rId18" Type="http://schemas.openxmlformats.org/officeDocument/2006/relationships/hyperlink" Target="http://blog.sina.com.cn/s/blog_4e997c670100dz1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ina.com.cn/s/blog_4e997c670100e6p0.html" TargetMode="External"/><Relationship Id="rId7" Type="http://schemas.openxmlformats.org/officeDocument/2006/relationships/hyperlink" Target="http://blog.sina.com.cn/s/blog_4e997c670100dvvt.html" TargetMode="External"/><Relationship Id="rId12" Type="http://schemas.openxmlformats.org/officeDocument/2006/relationships/hyperlink" Target="http://blog.sina.com.cn/s/blog_4e997c670100e5aj.html" TargetMode="External"/><Relationship Id="rId17" Type="http://schemas.openxmlformats.org/officeDocument/2006/relationships/hyperlink" Target="http://blog.sina.com.cn/s/blog_4e997c670100ee6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sina.com.cn/s/blog_4e997c670100e6p3.html" TargetMode="External"/><Relationship Id="rId20" Type="http://schemas.openxmlformats.org/officeDocument/2006/relationships/hyperlink" Target="http://blog.sina.com.cn/s/blog_4e997c670100e6ow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dut0.html" TargetMode="External"/><Relationship Id="rId11" Type="http://schemas.openxmlformats.org/officeDocument/2006/relationships/hyperlink" Target="http://blog.sina.com.cn/s/blog_4e997c670100dy27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log.sina.com.cn/s/blog_4e997c670100dusy.html" TargetMode="External"/><Relationship Id="rId15" Type="http://schemas.openxmlformats.org/officeDocument/2006/relationships/hyperlink" Target="http://blog.sina.com.cn/s/blog_4e997c670100e5w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sina.com.cn/s/blog_4e997c670100dwdj.html" TargetMode="External"/><Relationship Id="rId19" Type="http://schemas.openxmlformats.org/officeDocument/2006/relationships/hyperlink" Target="http://blog.sina.com.cn/s/blog_4e997c670100dzj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dvwa.html" TargetMode="External"/><Relationship Id="rId14" Type="http://schemas.openxmlformats.org/officeDocument/2006/relationships/hyperlink" Target="http://blog.sina.com.cn/s/blog_4e997c670100e5wn.html" TargetMode="External"/><Relationship Id="rId22" Type="http://schemas.openxmlformats.org/officeDocument/2006/relationships/hyperlink" Target="http://blog.sina.com.cn/s/blog_4e997c670100e6p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2012-08-12T14:59:00Z</dcterms:created>
  <dcterms:modified xsi:type="dcterms:W3CDTF">2012-08-12T14:59:00Z</dcterms:modified>
</cp:coreProperties>
</file>