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friction velocity (m/s)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 xml:space="preserve">von </w:t>
            </w:r>
            <w:proofErr w:type="spellStart"/>
            <w:r w:rsidRPr="00CE4331">
              <w:rPr>
                <w:rFonts w:ascii="Arial Narrow" w:hAnsi="Arial Narrow"/>
                <w:sz w:val="22"/>
              </w:rPr>
              <w:t>karman</w:t>
            </w:r>
            <w:proofErr w:type="spellEnd"/>
            <w:r w:rsidRPr="00CE4331">
              <w:rPr>
                <w:rFonts w:ascii="Arial Narrow" w:hAnsi="Arial Narrow"/>
                <w:sz w:val="22"/>
              </w:rPr>
              <w:t xml:space="preserve"> constant (dimensionless)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diameter of pollen (m)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density of pollen (kg/m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3</w:t>
            </w:r>
            <w:r w:rsidRPr="00CE4331">
              <w:rPr>
                <w:rFonts w:ascii="Arial Narrow" w:hAnsi="Arial Narrow"/>
                <w:sz w:val="22"/>
              </w:rPr>
              <w:t>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viscosity of air (m/s)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temperature (k)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density of air (kg/m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3</w:t>
            </w:r>
            <w:r w:rsidRPr="00CE4331">
              <w:rPr>
                <w:rFonts w:ascii="Arial Narrow" w:hAnsi="Arial Narrow"/>
                <w:sz w:val="22"/>
              </w:rPr>
              <w:t>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bookmarkStart w:id="0" w:name="OLE_LINK1"/>
            <w:bookmarkStart w:id="1" w:name="OLE_LINK2"/>
            <w:r w:rsidRPr="00CE4331">
              <w:rPr>
                <w:rFonts w:ascii="Arial Narrow" w:hAnsi="Arial Narrow"/>
                <w:sz w:val="22"/>
              </w:rPr>
              <w:t>indoor time (min)</w:t>
            </w:r>
            <w:bookmarkEnd w:id="0"/>
            <w:bookmarkEnd w:id="1"/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outdoor time (min)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hand to mouth contact frequency (time)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human surface area (m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2</w:t>
            </w:r>
            <w:r w:rsidRPr="00CE4331">
              <w:rPr>
                <w:rFonts w:ascii="Arial Narrow" w:hAnsi="Arial Narrow"/>
                <w:sz w:val="22"/>
              </w:rPr>
              <w:t>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human surface area (m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2</w:t>
            </w:r>
            <w:r w:rsidRPr="00CE4331">
              <w:rPr>
                <w:rFonts w:ascii="Arial Narrow" w:hAnsi="Arial Narrow"/>
                <w:sz w:val="22"/>
              </w:rPr>
              <w:t>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proofErr w:type="gramStart"/>
            <w:r w:rsidRPr="00CE4331">
              <w:rPr>
                <w:rFonts w:ascii="Arial Narrow" w:hAnsi="Arial Narrow"/>
                <w:sz w:val="22"/>
              </w:rPr>
              <w:t>hand</w:t>
            </w:r>
            <w:proofErr w:type="gramEnd"/>
            <w:r w:rsidRPr="00CE4331">
              <w:rPr>
                <w:rFonts w:ascii="Arial Narrow" w:hAnsi="Arial Narrow"/>
                <w:sz w:val="22"/>
              </w:rPr>
              <w:t xml:space="preserve"> surface ratio (%)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female inhalation rate (m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3</w:t>
            </w:r>
            <w:r w:rsidRPr="00CE4331">
              <w:rPr>
                <w:rFonts w:ascii="Arial Narrow" w:hAnsi="Arial Narrow"/>
                <w:sz w:val="22"/>
              </w:rPr>
              <w:t>/day)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male inhalation rate (m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3</w:t>
            </w:r>
            <w:r w:rsidRPr="00CE4331">
              <w:rPr>
                <w:rFonts w:ascii="Arial Narrow" w:hAnsi="Arial Narrow"/>
                <w:sz w:val="22"/>
              </w:rPr>
              <w:t>/day)</w:t>
            </w:r>
          </w:p>
        </w:tc>
      </w:tr>
      <w:tr w:rsidR="00165A7A" w:rsidRPr="000045CC" w:rsidTr="001F525F">
        <w:trPr>
          <w:trHeight w:val="33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r w:rsidRPr="00CE4331">
              <w:rPr>
                <w:rFonts w:ascii="Arial Narrow" w:hAnsi="Arial Narrow"/>
                <w:sz w:val="22"/>
              </w:rPr>
              <w:t>indoor ventilation rate (</w:t>
            </w:r>
            <w:r>
              <w:rPr>
                <w:rFonts w:ascii="Arial Narrow" w:hAnsi="Arial Narrow"/>
                <w:sz w:val="22"/>
              </w:rPr>
              <w:t>s</w:t>
            </w:r>
            <w:r w:rsidRPr="00BF0369">
              <w:rPr>
                <w:rFonts w:ascii="Arial Narrow" w:hAnsi="Arial Narrow"/>
                <w:sz w:val="22"/>
                <w:vertAlign w:val="superscript"/>
              </w:rPr>
              <w:t>-1</w:t>
            </w:r>
            <w:r w:rsidRPr="00CE4331">
              <w:rPr>
                <w:rFonts w:ascii="Arial Narrow" w:hAnsi="Arial Narrow"/>
                <w:sz w:val="22"/>
              </w:rPr>
              <w:t>)</w:t>
            </w:r>
          </w:p>
        </w:tc>
      </w:tr>
      <w:tr w:rsidR="00165A7A" w:rsidRPr="000045CC" w:rsidTr="001F525F">
        <w:trPr>
          <w:trHeight w:val="34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CE4331">
              <w:rPr>
                <w:rFonts w:ascii="Arial Narrow" w:hAnsi="Arial Narrow"/>
                <w:sz w:val="22"/>
              </w:rPr>
              <w:t>derm</w:t>
            </w:r>
            <w:proofErr w:type="spellEnd"/>
            <w:r w:rsidRPr="00CE4331">
              <w:rPr>
                <w:rFonts w:ascii="Arial Narrow" w:hAnsi="Arial Narrow"/>
                <w:sz w:val="22"/>
              </w:rPr>
              <w:t xml:space="preserve"> loading rate (dimensionless)</w:t>
            </w:r>
          </w:p>
        </w:tc>
      </w:tr>
      <w:tr w:rsidR="00165A7A" w:rsidRPr="000045CC" w:rsidTr="001F525F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65A7A" w:rsidRPr="000045CC" w:rsidRDefault="00165A7A" w:rsidP="00BF0369">
            <w:pPr>
              <w:jc w:val="center"/>
              <w:rPr>
                <w:rFonts w:ascii="Arial Narrow" w:hAnsi="Arial Narrow"/>
                <w:sz w:val="22"/>
              </w:rPr>
            </w:pPr>
            <w:bookmarkStart w:id="2" w:name="OLE_LINK3"/>
            <w:bookmarkStart w:id="3" w:name="OLE_LINK4"/>
            <w:r w:rsidRPr="00CE4331">
              <w:rPr>
                <w:rFonts w:ascii="Arial Narrow" w:hAnsi="Arial Narrow"/>
                <w:sz w:val="22"/>
              </w:rPr>
              <w:t>removal coefficient on the skin (</w:t>
            </w:r>
            <w:proofErr w:type="spellStart"/>
            <w:r w:rsidRPr="00CE4331">
              <w:rPr>
                <w:rFonts w:ascii="Arial Narrow" w:hAnsi="Arial Narrow"/>
                <w:sz w:val="22"/>
              </w:rPr>
              <w:t>dimesionless</w:t>
            </w:r>
            <w:proofErr w:type="spellEnd"/>
            <w:r w:rsidRPr="00CE4331">
              <w:rPr>
                <w:rFonts w:ascii="Arial Narrow" w:hAnsi="Arial Narrow"/>
                <w:sz w:val="22"/>
              </w:rPr>
              <w:t>)</w:t>
            </w:r>
            <w:bookmarkEnd w:id="2"/>
            <w:bookmarkEnd w:id="3"/>
          </w:p>
        </w:tc>
      </w:tr>
      <w:tr w:rsidR="001F525F" w:rsidRPr="000045CC" w:rsidTr="001F525F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8D8D8" w:fill="D8D8D8"/>
            <w:noWrap/>
            <w:vAlign w:val="bottom"/>
          </w:tcPr>
          <w:p w:rsidR="001F525F" w:rsidRDefault="001F525F" w:rsidP="00BF0369">
            <w:pPr>
              <w:jc w:val="center"/>
              <w:rPr>
                <w:rFonts w:ascii="Arial Narrow" w:hAnsi="Arial Narrow"/>
                <w:sz w:val="22"/>
              </w:rPr>
            </w:pPr>
          </w:p>
          <w:p w:rsidR="001F525F" w:rsidRDefault="001F525F" w:rsidP="00BF0369">
            <w:pPr>
              <w:jc w:val="center"/>
              <w:rPr>
                <w:rFonts w:ascii="Arial Narrow" w:hAnsi="Arial Narrow"/>
                <w:sz w:val="22"/>
              </w:rPr>
            </w:pPr>
          </w:p>
          <w:p w:rsidR="001F525F" w:rsidRDefault="001F525F" w:rsidP="00BF0369">
            <w:pPr>
              <w:jc w:val="center"/>
              <w:rPr>
                <w:rFonts w:ascii="Arial Narrow" w:hAnsi="Arial Narrow"/>
                <w:sz w:val="22"/>
              </w:rPr>
            </w:pPr>
          </w:p>
          <w:p w:rsidR="001F525F" w:rsidRDefault="001F525F" w:rsidP="00BF0369">
            <w:pPr>
              <w:jc w:val="center"/>
              <w:rPr>
                <w:rFonts w:ascii="Arial Narrow" w:hAnsi="Arial Narrow"/>
                <w:sz w:val="22"/>
              </w:rPr>
            </w:pPr>
          </w:p>
          <w:p w:rsidR="001F525F" w:rsidRPr="001F525F" w:rsidRDefault="001F525F" w:rsidP="00BF0369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1F525F" w:rsidRDefault="001F525F" w:rsidP="001F525F">
      <w:pPr>
        <w:spacing w:line="480" w:lineRule="auto"/>
        <w:ind w:firstLine="420"/>
        <w:rPr>
          <w:rFonts w:cs="Times New Roman"/>
          <w:color w:val="000000"/>
          <w:szCs w:val="24"/>
          <w:shd w:val="clear" w:color="auto" w:fill="FFFFFF"/>
        </w:rPr>
      </w:pPr>
      <w:commentRangeStart w:id="4"/>
      <w:r w:rsidRPr="00CE4331">
        <w:rPr>
          <w:rFonts w:cs="Times New Roman"/>
          <w:color w:val="000000"/>
          <w:szCs w:val="24"/>
          <w:shd w:val="clear" w:color="auto" w:fill="FFFFFF"/>
        </w:rPr>
        <w:t>The data are divide</w:t>
      </w:r>
      <w:r>
        <w:rPr>
          <w:rFonts w:cs="Times New Roman"/>
          <w:color w:val="000000"/>
          <w:szCs w:val="24"/>
          <w:shd w:val="clear" w:color="auto" w:fill="FFFFFF"/>
        </w:rPr>
        <w:t>d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into two </w:t>
      </w:r>
      <w:r>
        <w:rPr>
          <w:rFonts w:cs="Times New Roman"/>
          <w:color w:val="000000"/>
          <w:szCs w:val="24"/>
          <w:shd w:val="clear" w:color="auto" w:fill="FFFFFF"/>
        </w:rPr>
        <w:t>periods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to investigate the trend of pollen concentrations over </w:t>
      </w:r>
      <w:r>
        <w:rPr>
          <w:rFonts w:cs="Times New Roman"/>
          <w:color w:val="000000"/>
          <w:szCs w:val="24"/>
          <w:shd w:val="clear" w:color="auto" w:fill="FFFFFF"/>
        </w:rPr>
        <w:t>time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. </w:t>
      </w:r>
      <w:r>
        <w:fldChar w:fldCharType="begin"/>
      </w:r>
      <w:r>
        <w:instrText xml:space="preserve"> REF _Ref378343937 \h  \* MERGEFORMAT </w:instrText>
      </w:r>
      <w:r>
        <w:fldChar w:fldCharType="separate"/>
      </w:r>
      <w:r w:rsidRPr="007B0880">
        <w:rPr>
          <w:rFonts w:cs="Times New Roman"/>
          <w:color w:val="000000"/>
          <w:szCs w:val="24"/>
          <w:shd w:val="clear" w:color="auto" w:fill="FFFFFF"/>
        </w:rPr>
        <w:t>Table 4</w:t>
      </w:r>
      <w:r>
        <w:fldChar w:fldCharType="end"/>
      </w:r>
      <w: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shows </w:t>
      </w:r>
      <w:r>
        <w:rPr>
          <w:rFonts w:cs="Times New Roman"/>
          <w:color w:val="000000"/>
          <w:szCs w:val="24"/>
          <w:shd w:val="clear" w:color="auto" w:fill="FFFFFF"/>
        </w:rPr>
        <w:t>mean peak values of daily airborne pollen concentrations in periods 1994-2000 and 2001-2010 for nine different climate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; </w:t>
      </w:r>
      <w:r>
        <w:fldChar w:fldCharType="begin"/>
      </w:r>
      <w:r>
        <w:instrText xml:space="preserve"> REF _Ref378343939 \h  \* MERGEFORMAT </w:instrText>
      </w:r>
      <w:r>
        <w:fldChar w:fldCharType="separate"/>
      </w:r>
      <w:r w:rsidRPr="007B0880">
        <w:rPr>
          <w:rFonts w:cs="Times New Roman"/>
          <w:color w:val="000000"/>
          <w:szCs w:val="24"/>
          <w:shd w:val="clear" w:color="auto" w:fill="FFFFFF"/>
        </w:rPr>
        <w:t>Table 5</w:t>
      </w:r>
      <w:r>
        <w:fldChar w:fldCharType="end"/>
      </w:r>
      <w: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shows the </w:t>
      </w:r>
      <w:r>
        <w:rPr>
          <w:rFonts w:cs="Times New Roman"/>
          <w:color w:val="000000"/>
          <w:szCs w:val="24"/>
          <w:shd w:val="clear" w:color="auto" w:fill="FFFFFF"/>
        </w:rPr>
        <w:t xml:space="preserve">comparison of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mean </w:t>
      </w:r>
      <w:r>
        <w:rPr>
          <w:rFonts w:cs="Times New Roman"/>
          <w:color w:val="000000"/>
          <w:szCs w:val="24"/>
          <w:shd w:val="clear" w:color="auto" w:fill="FFFFFF"/>
        </w:rPr>
        <w:t>daily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airborne </w:t>
      </w:r>
      <w:r w:rsidRPr="00CE4331">
        <w:rPr>
          <w:rFonts w:cs="Times New Roman"/>
          <w:color w:val="000000"/>
          <w:szCs w:val="24"/>
          <w:shd w:val="clear" w:color="auto" w:fill="FFFFFF"/>
        </w:rPr>
        <w:t>pollen concentration</w:t>
      </w:r>
      <w:r>
        <w:rPr>
          <w:rFonts w:cs="Times New Roman"/>
          <w:color w:val="000000"/>
          <w:szCs w:val="24"/>
          <w:shd w:val="clear" w:color="auto" w:fill="FFFFFF"/>
        </w:rPr>
        <w:t>s between two periods for nine climate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>. The red values indicate that th</w:t>
      </w:r>
      <w:r>
        <w:rPr>
          <w:rFonts w:cs="Times New Roman"/>
          <w:color w:val="000000"/>
          <w:szCs w:val="24"/>
          <w:shd w:val="clear" w:color="auto" w:fill="FFFFFF"/>
        </w:rPr>
        <w:t>e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species in </w:t>
      </w:r>
      <w:r w:rsidRPr="003B4259">
        <w:rPr>
          <w:rFonts w:cs="Times New Roman"/>
          <w:color w:val="000000"/>
          <w:szCs w:val="24"/>
          <w:shd w:val="clear" w:color="auto" w:fill="FFFFFF"/>
        </w:rPr>
        <w:t>th</w:t>
      </w:r>
      <w:r>
        <w:rPr>
          <w:rFonts w:cs="Times New Roman"/>
          <w:color w:val="000000"/>
          <w:szCs w:val="24"/>
          <w:shd w:val="clear" w:color="auto" w:fill="FFFFFF"/>
        </w:rPr>
        <w:t>o</w:t>
      </w:r>
      <w:r w:rsidRPr="003B4259">
        <w:rPr>
          <w:rFonts w:cs="Times New Roman"/>
          <w:color w:val="000000"/>
          <w:szCs w:val="24"/>
          <w:shd w:val="clear" w:color="auto" w:fill="FFFFFF"/>
        </w:rPr>
        <w:t>se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var</w:t>
      </w:r>
      <w:r>
        <w:rPr>
          <w:rFonts w:cs="Times New Roman"/>
          <w:color w:val="000000"/>
          <w:szCs w:val="24"/>
          <w:shd w:val="clear" w:color="auto" w:fill="FFFFFF"/>
        </w:rPr>
        <w:t xml:space="preserve">y </w:t>
      </w:r>
      <w:r w:rsidRPr="00CE4331">
        <w:rPr>
          <w:rFonts w:cs="Times New Roman"/>
          <w:color w:val="000000"/>
          <w:szCs w:val="24"/>
          <w:shd w:val="clear" w:color="auto" w:fill="FFFFFF"/>
        </w:rPr>
        <w:t>significant</w:t>
      </w:r>
      <w:r>
        <w:rPr>
          <w:rFonts w:cs="Times New Roman"/>
          <w:color w:val="000000"/>
          <w:szCs w:val="24"/>
          <w:shd w:val="clear" w:color="auto" w:fill="FFFFFF"/>
        </w:rPr>
        <w:t>ly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over time.</w:t>
      </w:r>
      <w:commentRangeEnd w:id="4"/>
      <w:r>
        <w:rPr>
          <w:rStyle w:val="a5"/>
        </w:rPr>
        <w:commentReference w:id="4"/>
      </w:r>
    </w:p>
    <w:p w:rsidR="001F525F" w:rsidRDefault="001F525F" w:rsidP="001F525F">
      <w:pPr>
        <w:spacing w:line="480" w:lineRule="auto"/>
        <w:ind w:firstLine="420"/>
        <w:rPr>
          <w:rFonts w:cs="Times New Roman"/>
          <w:color w:val="000000"/>
          <w:szCs w:val="24"/>
          <w:shd w:val="clear" w:color="auto" w:fill="FFFFFF"/>
        </w:rPr>
      </w:pPr>
      <w:r w:rsidRPr="00CE4331">
        <w:rPr>
          <w:rFonts w:cs="Times New Roman"/>
          <w:color w:val="000000"/>
          <w:szCs w:val="24"/>
          <w:shd w:val="clear" w:color="auto" w:fill="FFFFFF"/>
        </w:rPr>
        <w:t>The data are divide</w:t>
      </w:r>
      <w:r>
        <w:rPr>
          <w:rFonts w:cs="Times New Roman"/>
          <w:color w:val="000000"/>
          <w:szCs w:val="24"/>
          <w:shd w:val="clear" w:color="auto" w:fill="FFFFFF"/>
        </w:rPr>
        <w:t>d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into two </w:t>
      </w:r>
      <w:r>
        <w:rPr>
          <w:rFonts w:cs="Times New Roman"/>
          <w:color w:val="000000"/>
          <w:szCs w:val="24"/>
          <w:shd w:val="clear" w:color="auto" w:fill="FFFFFF"/>
        </w:rPr>
        <w:t>periods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to investigate the trend of pollen concentrations over </w:t>
      </w:r>
      <w:r>
        <w:rPr>
          <w:rFonts w:cs="Times New Roman"/>
          <w:color w:val="000000"/>
          <w:szCs w:val="24"/>
          <w:shd w:val="clear" w:color="auto" w:fill="FFFFFF"/>
        </w:rPr>
        <w:t>time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. </w:t>
      </w:r>
      <w:r>
        <w:fldChar w:fldCharType="begin"/>
      </w:r>
      <w:r>
        <w:instrText xml:space="preserve"> REF _Ref378343937 \h  \* MERGEFORMAT </w:instrText>
      </w:r>
      <w:r>
        <w:fldChar w:fldCharType="separate"/>
      </w:r>
      <w:r w:rsidRPr="007B0880">
        <w:rPr>
          <w:rFonts w:cs="Times New Roman"/>
          <w:color w:val="000000"/>
          <w:szCs w:val="24"/>
          <w:shd w:val="clear" w:color="auto" w:fill="FFFFFF"/>
        </w:rPr>
        <w:t>Table 4</w:t>
      </w:r>
      <w:r>
        <w:fldChar w:fldCharType="end"/>
      </w:r>
      <w: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shows </w:t>
      </w:r>
      <w:r>
        <w:rPr>
          <w:rFonts w:cs="Times New Roman"/>
          <w:color w:val="000000"/>
          <w:szCs w:val="24"/>
          <w:shd w:val="clear" w:color="auto" w:fill="FFFFFF"/>
        </w:rPr>
        <w:t>mean peak values of daily airborne pollen concentrations in periods 1994-2000 and 2001-2010 for nine different climate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; </w:t>
      </w:r>
      <w:r>
        <w:fldChar w:fldCharType="begin"/>
      </w:r>
      <w:r>
        <w:instrText xml:space="preserve"> REF _Ref378343939 \h  \* MERGEFORMAT </w:instrText>
      </w:r>
      <w:r>
        <w:fldChar w:fldCharType="separate"/>
      </w:r>
      <w:r w:rsidRPr="007B0880">
        <w:rPr>
          <w:rFonts w:cs="Times New Roman"/>
          <w:color w:val="000000"/>
          <w:szCs w:val="24"/>
          <w:shd w:val="clear" w:color="auto" w:fill="FFFFFF"/>
        </w:rPr>
        <w:t>Table 5</w:t>
      </w:r>
      <w:r>
        <w:fldChar w:fldCharType="end"/>
      </w:r>
      <w: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shows the </w:t>
      </w:r>
      <w:r>
        <w:rPr>
          <w:rFonts w:cs="Times New Roman"/>
          <w:color w:val="000000"/>
          <w:szCs w:val="24"/>
          <w:shd w:val="clear" w:color="auto" w:fill="FFFFFF"/>
        </w:rPr>
        <w:t xml:space="preserve">comparison of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mean </w:t>
      </w:r>
      <w:r>
        <w:rPr>
          <w:rFonts w:cs="Times New Roman"/>
          <w:color w:val="000000"/>
          <w:szCs w:val="24"/>
          <w:shd w:val="clear" w:color="auto" w:fill="FFFFFF"/>
        </w:rPr>
        <w:t>daily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airborne </w:t>
      </w:r>
      <w:r w:rsidRPr="00CE4331">
        <w:rPr>
          <w:rFonts w:cs="Times New Roman"/>
          <w:color w:val="000000"/>
          <w:szCs w:val="24"/>
          <w:shd w:val="clear" w:color="auto" w:fill="FFFFFF"/>
        </w:rPr>
        <w:t>pollen concentration</w:t>
      </w:r>
      <w:r>
        <w:rPr>
          <w:rFonts w:cs="Times New Roman"/>
          <w:color w:val="000000"/>
          <w:szCs w:val="24"/>
          <w:shd w:val="clear" w:color="auto" w:fill="FFFFFF"/>
        </w:rPr>
        <w:t>s between two periods for nine climate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>. The red values indicate that th</w:t>
      </w:r>
      <w:r>
        <w:rPr>
          <w:rFonts w:cs="Times New Roman"/>
          <w:color w:val="000000"/>
          <w:szCs w:val="24"/>
          <w:shd w:val="clear" w:color="auto" w:fill="FFFFFF"/>
        </w:rPr>
        <w:t>e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pollen concentrations of 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species in </w:t>
      </w:r>
      <w:r w:rsidRPr="003B4259">
        <w:rPr>
          <w:rFonts w:cs="Times New Roman"/>
          <w:color w:val="000000"/>
          <w:szCs w:val="24"/>
          <w:shd w:val="clear" w:color="auto" w:fill="FFFFFF"/>
        </w:rPr>
        <w:t>th</w:t>
      </w:r>
      <w:r>
        <w:rPr>
          <w:rFonts w:cs="Times New Roman"/>
          <w:color w:val="000000"/>
          <w:szCs w:val="24"/>
          <w:shd w:val="clear" w:color="auto" w:fill="FFFFFF"/>
        </w:rPr>
        <w:t>o</w:t>
      </w:r>
      <w:r w:rsidRPr="003B4259">
        <w:rPr>
          <w:rFonts w:cs="Times New Roman"/>
          <w:color w:val="000000"/>
          <w:szCs w:val="24"/>
          <w:shd w:val="clear" w:color="auto" w:fill="FFFFFF"/>
        </w:rPr>
        <w:t>se regions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var</w:t>
      </w:r>
      <w:r>
        <w:rPr>
          <w:rFonts w:cs="Times New Roman"/>
          <w:color w:val="000000"/>
          <w:szCs w:val="24"/>
          <w:shd w:val="clear" w:color="auto" w:fill="FFFFFF"/>
        </w:rPr>
        <w:t xml:space="preserve">y </w:t>
      </w:r>
      <w:r w:rsidRPr="00CE4331">
        <w:rPr>
          <w:rFonts w:cs="Times New Roman"/>
          <w:color w:val="000000"/>
          <w:szCs w:val="24"/>
          <w:shd w:val="clear" w:color="auto" w:fill="FFFFFF"/>
        </w:rPr>
        <w:t>significant</w:t>
      </w:r>
      <w:r>
        <w:rPr>
          <w:rFonts w:cs="Times New Roman"/>
          <w:color w:val="000000"/>
          <w:szCs w:val="24"/>
          <w:shd w:val="clear" w:color="auto" w:fill="FFFFFF"/>
        </w:rPr>
        <w:t>ly</w:t>
      </w:r>
      <w:r w:rsidRPr="00CE4331">
        <w:rPr>
          <w:rFonts w:cs="Times New Roman"/>
          <w:color w:val="000000"/>
          <w:szCs w:val="24"/>
          <w:shd w:val="clear" w:color="auto" w:fill="FFFFFF"/>
        </w:rPr>
        <w:t xml:space="preserve"> over </w:t>
      </w:r>
      <w:proofErr w:type="gramStart"/>
      <w:r w:rsidRPr="00CE4331">
        <w:rPr>
          <w:rFonts w:cs="Times New Roman"/>
          <w:color w:val="000000"/>
          <w:szCs w:val="24"/>
          <w:shd w:val="clear" w:color="auto" w:fill="FFFFFF"/>
        </w:rPr>
        <w:lastRenderedPageBreak/>
        <w:t>time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proofErr w:type="gramEnd"/>
      <w:r w:rsidRPr="001F525F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the red values indicate that the concentrations of those species in those regions vary significantly over time (using t-test)</w:t>
      </w:r>
      <w:r w:rsidRPr="00CE4331">
        <w:rPr>
          <w:rFonts w:cs="Times New Roman"/>
          <w:color w:val="000000"/>
          <w:szCs w:val="24"/>
          <w:shd w:val="clear" w:color="auto" w:fill="FFFFFF"/>
        </w:rPr>
        <w:t>.</w:t>
      </w:r>
      <w:r>
        <w:rPr>
          <w:rFonts w:cs="Times New Roman"/>
          <w:color w:val="000000"/>
          <w:szCs w:val="24"/>
          <w:shd w:val="clear" w:color="auto" w:fill="FFFFFF"/>
        </w:rPr>
        <w:t xml:space="preserve"> Those five species are all found to be </w:t>
      </w:r>
      <w:proofErr w:type="gramStart"/>
      <w:r>
        <w:rPr>
          <w:rFonts w:cs="Times New Roman"/>
          <w:color w:val="000000"/>
          <w:szCs w:val="24"/>
          <w:shd w:val="clear" w:color="auto" w:fill="FFFFFF"/>
        </w:rPr>
        <w:t>vary</w:t>
      </w:r>
      <w:proofErr w:type="gramEnd"/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>significant</w:t>
      </w:r>
      <w:r>
        <w:rPr>
          <w:rFonts w:cs="Times New Roman"/>
          <w:color w:val="000000"/>
          <w:szCs w:val="24"/>
          <w:shd w:val="clear" w:color="auto" w:fill="FFFFFF"/>
        </w:rPr>
        <w:t xml:space="preserve">ly in Northeast Region. Artemisia, Betula and Gramineae are found to be </w:t>
      </w:r>
      <w:proofErr w:type="gramStart"/>
      <w:r>
        <w:rPr>
          <w:rFonts w:cs="Times New Roman"/>
          <w:color w:val="000000"/>
          <w:szCs w:val="24"/>
          <w:shd w:val="clear" w:color="auto" w:fill="FFFFFF"/>
        </w:rPr>
        <w:t>vary</w:t>
      </w:r>
      <w:proofErr w:type="gramEnd"/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CE4331">
        <w:rPr>
          <w:rFonts w:cs="Times New Roman"/>
          <w:color w:val="000000"/>
          <w:szCs w:val="24"/>
          <w:shd w:val="clear" w:color="auto" w:fill="FFFFFF"/>
        </w:rPr>
        <w:t>significant</w:t>
      </w:r>
      <w:r>
        <w:rPr>
          <w:rFonts w:cs="Times New Roman"/>
          <w:color w:val="000000"/>
          <w:szCs w:val="24"/>
          <w:shd w:val="clear" w:color="auto" w:fill="FFFFFF"/>
        </w:rPr>
        <w:t>ly in West Region. Ambrosia are found</w:t>
      </w:r>
      <w:r>
        <w:rPr>
          <w:rFonts w:cs="Times New Roman" w:hint="eastAsia"/>
          <w:color w:val="000000"/>
          <w:szCs w:val="24"/>
          <w:shd w:val="clear" w:color="auto" w:fill="FFFFFF"/>
        </w:rPr>
        <w:t xml:space="preserve"> </w:t>
      </w:r>
    </w:p>
    <w:p w:rsidR="001F525F" w:rsidRPr="001F525F" w:rsidRDefault="001F525F" w:rsidP="001F525F"/>
    <w:tbl>
      <w:tblPr>
        <w:tblW w:w="5000" w:type="pct"/>
        <w:tblLook w:val="04A0" w:firstRow="1" w:lastRow="0" w:firstColumn="1" w:lastColumn="0" w:noHBand="0" w:noVBand="1"/>
      </w:tblPr>
      <w:tblGrid>
        <w:gridCol w:w="1841"/>
        <w:gridCol w:w="1580"/>
        <w:gridCol w:w="1069"/>
        <w:gridCol w:w="1550"/>
        <w:gridCol w:w="1018"/>
        <w:gridCol w:w="1464"/>
      </w:tblGrid>
      <w:tr w:rsidR="00F559CF" w:rsidRPr="008B6339" w:rsidTr="008C0F97">
        <w:trPr>
          <w:trHeight w:val="288"/>
        </w:trPr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Species</w:t>
            </w:r>
          </w:p>
        </w:tc>
        <w:tc>
          <w:tcPr>
            <w:tcW w:w="9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Median or Mean</w:t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Inhalation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Dermal Contact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Ingestion</w:t>
            </w:r>
          </w:p>
        </w:tc>
        <w:tc>
          <w:tcPr>
            <w:tcW w:w="10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left"/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b/>
                <w:bCs/>
                <w:color w:val="000000"/>
                <w:kern w:val="0"/>
                <w:sz w:val="22"/>
              </w:rPr>
              <w:t>Total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birch (Betula)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Median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F559CF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30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206</w:t>
            </w:r>
            <w:r w:rsidR="00D60515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(821)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2(8)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2(7)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208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ragweed (Ambrosia)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Median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28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 xml:space="preserve">Mean 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86</w:t>
            </w: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(206)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1(1)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0(1)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87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mugwort (Artemisia)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Median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20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85</w:t>
            </w:r>
            <w:r w:rsidR="00D60515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(489)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0(2)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0(1)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85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grass (Gramineae)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Median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13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38</w:t>
            </w:r>
            <w:r w:rsidR="00D60515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(86)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0(1)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0(1)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oak (Quercus)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Median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45</w:t>
            </w:r>
          </w:p>
        </w:tc>
      </w:tr>
      <w:tr w:rsidR="00F559CF" w:rsidRPr="008B6339" w:rsidTr="008C0F97">
        <w:trPr>
          <w:trHeight w:val="288"/>
        </w:trPr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 w:rsidRPr="00CE4331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09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F559CF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386</w:t>
            </w:r>
            <w:r w:rsidR="00D60515"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(1112)</w:t>
            </w:r>
          </w:p>
        </w:tc>
        <w:tc>
          <w:tcPr>
            <w:tcW w:w="86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3(7)</w:t>
            </w:r>
          </w:p>
        </w:tc>
        <w:tc>
          <w:tcPr>
            <w:tcW w:w="58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2(5)</w:t>
            </w:r>
            <w:bookmarkStart w:id="5" w:name="_GoBack"/>
            <w:bookmarkEnd w:id="5"/>
          </w:p>
        </w:tc>
        <w:tc>
          <w:tcPr>
            <w:tcW w:w="10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9CF" w:rsidRPr="008B6339" w:rsidRDefault="00D60515" w:rsidP="008C0F97">
            <w:pPr>
              <w:widowControl/>
              <w:jc w:val="center"/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</w:pPr>
            <w:r>
              <w:rPr>
                <w:rFonts w:ascii="Arial Narrow" w:eastAsia="宋体" w:hAnsi="Arial Narrow" w:cs="宋体"/>
                <w:color w:val="000000"/>
                <w:kern w:val="0"/>
                <w:sz w:val="22"/>
              </w:rPr>
              <w:t>390</w:t>
            </w:r>
          </w:p>
        </w:tc>
      </w:tr>
    </w:tbl>
    <w:p w:rsidR="00FF546D" w:rsidRPr="001F525F" w:rsidRDefault="00FF546D"/>
    <w:sectPr w:rsidR="00FF546D" w:rsidRPr="001F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Yong" w:date="2014-02-03T21:01:00Z" w:initials="Y">
    <w:p w:rsidR="001F525F" w:rsidRDefault="001F525F" w:rsidP="001F525F">
      <w:pPr>
        <w:pStyle w:val="a6"/>
      </w:pPr>
      <w:r>
        <w:t>/</w:t>
      </w:r>
      <w:r>
        <w:rPr>
          <w:rStyle w:val="a5"/>
        </w:rPr>
        <w:annotationRef/>
      </w:r>
      <w:r>
        <w:t>The results in table 4 and table 5 should be explained briefly here. You can’t simply throw out the results in the table without descriptions in the text.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FD8" w:rsidRDefault="00493FD8" w:rsidP="00165A7A">
      <w:r>
        <w:separator/>
      </w:r>
    </w:p>
  </w:endnote>
  <w:endnote w:type="continuationSeparator" w:id="0">
    <w:p w:rsidR="00493FD8" w:rsidRDefault="00493FD8" w:rsidP="0016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FD8" w:rsidRDefault="00493FD8" w:rsidP="00165A7A">
      <w:r>
        <w:separator/>
      </w:r>
    </w:p>
  </w:footnote>
  <w:footnote w:type="continuationSeparator" w:id="0">
    <w:p w:rsidR="00493FD8" w:rsidRDefault="00493FD8" w:rsidP="00165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35"/>
    <w:rsid w:val="000A2F0B"/>
    <w:rsid w:val="00110116"/>
    <w:rsid w:val="00165A7A"/>
    <w:rsid w:val="0019628D"/>
    <w:rsid w:val="001F525F"/>
    <w:rsid w:val="002971F0"/>
    <w:rsid w:val="00460C41"/>
    <w:rsid w:val="00493FD8"/>
    <w:rsid w:val="007A5D89"/>
    <w:rsid w:val="009159A0"/>
    <w:rsid w:val="00C83D35"/>
    <w:rsid w:val="00CF05FB"/>
    <w:rsid w:val="00D60515"/>
    <w:rsid w:val="00F559CF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A7A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F525F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1F525F"/>
    <w:rPr>
      <w:rFonts w:ascii="Times New Roman" w:hAnsi="Times New Roman"/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1F525F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F52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5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A7A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F525F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1F525F"/>
    <w:rPr>
      <w:rFonts w:ascii="Times New Roman" w:hAnsi="Times New Roman"/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1F525F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F52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5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1965</Characters>
  <Application>Microsoft Office Word</Application>
  <DocSecurity>0</DocSecurity>
  <Lines>16</Lines>
  <Paragraphs>4</Paragraphs>
  <ScaleCrop>false</ScaleCrop>
  <Company>Microsoft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kunmei</dc:creator>
  <cp:keywords/>
  <dc:description/>
  <cp:lastModifiedBy>kunmei</cp:lastModifiedBy>
  <cp:revision>5</cp:revision>
  <dcterms:created xsi:type="dcterms:W3CDTF">2014-01-30T22:22:00Z</dcterms:created>
  <dcterms:modified xsi:type="dcterms:W3CDTF">2014-02-04T04:33:00Z</dcterms:modified>
</cp:coreProperties>
</file>