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42847"/>
          <w:sz w:val="64"/>
        </w:rPr>
        <w:t>RESTAURA</w:t>
      </w:r>
      <w:r>
        <w:rPr>
          <w:b/>
          <w:color w:val="C8922A"/>
          <w:sz w:val="64"/>
        </w:rPr>
        <w:t>.do</w:t>
      </w:r>
    </w:p>
    <w:p>
      <w:pPr>
        <w:spacing w:before="120"/>
        <w:jc w:val="center"/>
      </w:pPr>
      <w:r>
        <w:rPr>
          <w:b/>
          <w:color w:val="0D1F3C"/>
          <w:sz w:val="36"/>
        </w:rPr>
        <w:t>Documento maestro de decisiones</w:t>
      </w:r>
    </w:p>
    <w:p>
      <w:pPr>
        <w:spacing w:before="80"/>
        <w:jc w:val="center"/>
      </w:pPr>
      <w:r>
        <w:rPr>
          <w:i/>
          <w:color w:val="555555"/>
          <w:sz w:val="24"/>
        </w:rPr>
        <w:t>Modelo, marca, oferta comercial y posicionamiento — consolidado para traspaso a otro proyecto</w:t>
      </w:r>
    </w:p>
    <w:p/>
    <w:p/>
    <w:p>
      <w:pPr>
        <w:jc w:val="center"/>
      </w:pPr>
      <w:r>
        <w:rPr>
          <w:color w:val="555555"/>
          <w:sz w:val="19"/>
        </w:rPr>
        <w:t>Oscar Gelves — Maestro Restaurador · Agosto de 2026 · Documento vivo, consolida las decisiones tomadas hasta esta fecha</w:t>
      </w:r>
    </w:p>
    <w:p>
      <w:r>
        <w:br w:type="page"/>
      </w:r>
    </w:p>
    <w:p>
      <w:pPr>
        <w:pStyle w:val="Heading1"/>
      </w:pPr>
      <w:r>
        <w:t>0. Nota de traspaso</w:t>
      </w:r>
    </w:p>
    <w:p>
      <w:pPr>
        <w:spacing w:before="40" w:after="280"/>
        <w:pBdr>
          <w:bottom w:val="single" w:sz="8" w:space="1" w:color="C8922A"/>
        </w:pBdr>
      </w:pPr>
    </w:p>
    <w:p>
      <w:r>
        <w:rPr>
          <w:b w:val="0"/>
          <w:i w:val="0"/>
        </w:rPr>
        <w:t>Este documento consolida, en un solo lugar, todo lo decidido hasta ahora sobre Restaura.do: filosofía, modelo, marca, oferta comercial y posicionamiento frente al mercado. Se construye a partir de tres documentos de trabajo ya existentes (la Teoría Completa del Modelo, el Mapa de Posicionamiento Comercial, y el brief de la página web) más las decisiones tomadas en conversación que todavía no estaban formalizadas en ningún documento.</w:t>
      </w:r>
    </w:p>
    <w:p>
      <w:r>
        <w:rPr>
          <w:b w:val="0"/>
          <w:i w:val="0"/>
        </w:rPr>
        <w:t>Convención usada en todo el documento: cuando algo está cerrado y decidido, se presenta como texto normal. Cuando algo sigue abierto, en evaluación, o es una propuesta todavía sin confirmar, aparece marcado explícitamente en un recuadro de nota. Esta distinción es intencional: quien reciba este documento no debería tener que adivinar qué es definitivo y qué no.</w:t>
      </w:r>
    </w:p>
    <w:p>
      <w:pPr>
        <w:spacing w:before="80" w:after="200"/>
        <w:pBdr>
          <w:left w:val="single" w:sz="18" w:space="8" w:color="E07B39"/>
        </w:pBdr>
      </w:pPr>
      <w:r>
        <w:rPr>
          <w:b/>
          <w:color w:val="E07B39"/>
          <w:sz w:val="20"/>
        </w:rPr>
        <w:t xml:space="preserve">ALCANCE: </w:t>
      </w:r>
      <w:r>
        <w:rPr>
          <w:i/>
          <w:color w:val="555555"/>
          <w:sz w:val="20"/>
        </w:rPr>
        <w:t>Restaura.do y El Taller comparten modelo, filosofía y marca, pero son dos ofertas con clientes distintos: El Taller (vendido en oscargelves.com) es la consultoría comercial productizada de ingreso inmediato; Restaura.do es el instrumento de evaluación de vida y liderazgo, activo de mediano plazo (60 a 90 días a ingreso). La prioridad comercial vigente es activar la red y vender el Diagnóstico Comercial de El Taller, no seguir construyendo sistema.</w:t>
      </w:r>
    </w:p>
    <w:p>
      <w:pPr>
        <w:pStyle w:val="Heading1"/>
      </w:pPr>
      <w:r>
        <w:t>1. Qué es Restaura.do, en una idea</w:t>
      </w:r>
    </w:p>
    <w:p>
      <w:pPr>
        <w:spacing w:before="40" w:after="280"/>
        <w:pBdr>
          <w:bottom w:val="single" w:sz="8" w:space="1" w:color="C8922A"/>
        </w:pBdr>
      </w:pPr>
    </w:p>
    <w:p>
      <w:r>
        <w:rPr>
          <w:b w:val="0"/>
          <w:i w:val="0"/>
        </w:rPr>
        <w:t>La premisa central: no se reinventa un liderazgo, un equipo comercial o una organización, se restaura. Reinventar implica partir de cero y descartar lo que ya existe. Restaurar implica reconocer que existe un diseño original, funcional y valioso, que se ha deteriorado, se ha cubierto de ruido, o ha quedado enterrado bajo la urgencia y sistemas pobres, pero que sigue ahí, recuperable.</w:t>
      </w:r>
    </w:p>
    <w:p>
      <w:pPr>
        <w:jc w:val="center"/>
      </w:pPr>
      <w:r>
        <w:rPr>
          <w:b w:val="0"/>
          <w:i/>
          <w:color w:val="0D1F3C"/>
          <w:sz w:val="25"/>
        </w:rPr>
        <w:t>"Nadie necesita reinventarse. Necesita recordar, y ser restaurado a su diseño original."</w:t>
      </w:r>
    </w:p>
    <w:p>
      <w:r>
        <w:rPr>
          <w:b w:val="0"/>
          <w:i w:val="0"/>
        </w:rPr>
        <w:t>Esta frase ancla funciona como el criterio de coherencia contra el que se revisa cualquier pieza nueva de contenido, oferta o copy.</w:t>
      </w:r>
    </w:p>
    <w:p>
      <w:r>
        <w:rPr>
          <w:b w:val="0"/>
          <w:i w:val="0"/>
        </w:rPr>
        <w:t>Oscar Gelves opera bajo la identidad de Maestro Restaurador, no de "arquitecto" ni "estratega": un maestro restaurador trabaja con las manos, de cerca, sobre una pieza específica que ya existe. Es una postura de oficio y cercanía, no de autoridad distante.</w:t>
      </w:r>
    </w:p>
    <w:p>
      <w:pPr>
        <w:spacing w:before="80" w:after="200"/>
        <w:pBdr>
          <w:left w:val="single" w:sz="18" w:space="8" w:color="E07B39"/>
        </w:pBdr>
      </w:pPr>
      <w:r>
        <w:rPr>
          <w:b/>
          <w:color w:val="E07B39"/>
          <w:sz w:val="20"/>
        </w:rPr>
        <w:t xml:space="preserve">PRECISIÓN: </w:t>
      </w:r>
      <w:r>
        <w:rPr>
          <w:i/>
          <w:color w:val="555555"/>
          <w:sz w:val="20"/>
        </w:rPr>
        <w:t>La anécdota de que Oscar nació en 1969, el año del cronógrafo automático y la amenaza del cuarzo a la relojería tradicional, es una historia de autoridad y origen personal (sección "Quién soy"), no la metáfora operativa del modelo. El modelo mismo usa lenguaje llano y universal, sin vocabulario de un oficio específico: dos intentos anteriores (lenguaje de taller mecánico primero, de relojería después) se descartaron por esa misma razón.</w:t>
      </w:r>
    </w:p>
    <w:p>
      <w:pPr>
        <w:pStyle w:val="Heading1"/>
      </w:pPr>
      <w:r>
        <w:t>2. Estructura general del modelo</w:t>
      </w:r>
    </w:p>
    <w:p>
      <w:pPr>
        <w:spacing w:before="40" w:after="280"/>
        <w:pBdr>
          <w:bottom w:val="single" w:sz="8" w:space="1" w:color="C8922A"/>
        </w:pBdr>
      </w:pPr>
    </w:p>
    <w:p>
      <w:r>
        <w:rPr>
          <w:b w:val="0"/>
          <w:i w:val="0"/>
        </w:rPr>
        <w:t>El modelo tiene tres capas que operan juntas pero responden a preguntas distintas.</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trPr>
        <w:tc>
          <w:tcPr>
            <w:tcW w:type="dxa" w:w="2448"/>
            <w:shd w:val="clear" w:color="auto" w:fill="142847"/>
          </w:tcPr>
          <w:p>
            <w:r/>
            <w:r>
              <w:rPr>
                <w:b/>
                <w:color w:val="FFFFFF"/>
                <w:sz w:val="20"/>
              </w:rPr>
              <w:t>Capa</w:t>
            </w:r>
          </w:p>
        </w:tc>
        <w:tc>
          <w:tcPr>
            <w:tcW w:type="dxa" w:w="3456"/>
            <w:shd w:val="clear" w:color="auto" w:fill="142847"/>
          </w:tcPr>
          <w:p>
            <w:r/>
            <w:r>
              <w:rPr>
                <w:b/>
                <w:color w:val="FFFFFF"/>
                <w:sz w:val="20"/>
              </w:rPr>
              <w:t>Responde a</w:t>
            </w:r>
          </w:p>
        </w:tc>
        <w:tc>
          <w:tcPr>
            <w:tcW w:type="dxa" w:w="3600"/>
            <w:shd w:val="clear" w:color="auto" w:fill="142847"/>
          </w:tcPr>
          <w:p>
            <w:r/>
            <w:r>
              <w:rPr>
                <w:b/>
                <w:color w:val="FFFFFF"/>
                <w:sz w:val="20"/>
              </w:rPr>
              <w:t>Compuesta por</w:t>
            </w:r>
          </w:p>
        </w:tc>
      </w:tr>
      <w:tr>
        <w:trPr>
          <w:cantSplit/>
        </w:trPr>
        <w:tc>
          <w:tcPr>
            <w:tcW w:type="dxa" w:w="2448"/>
          </w:tcPr>
          <w:p>
            <w:r/>
            <w:r>
              <w:rPr>
                <w:sz w:val="19"/>
              </w:rPr>
              <w:t>Fases (el cómo)</w:t>
            </w:r>
          </w:p>
        </w:tc>
        <w:tc>
          <w:tcPr>
            <w:tcW w:type="dxa" w:w="3456"/>
          </w:tcPr>
          <w:p>
            <w:r/>
            <w:r>
              <w:rPr>
                <w:sz w:val="19"/>
              </w:rPr>
              <w:t>¿En qué orden se hace el trabajo?</w:t>
            </w:r>
          </w:p>
        </w:tc>
        <w:tc>
          <w:tcPr>
            <w:tcW w:type="dxa" w:w="3600"/>
          </w:tcPr>
          <w:p>
            <w:r/>
            <w:r>
              <w:rPr>
                <w:sz w:val="19"/>
              </w:rPr>
              <w:t>Diagnóstico, Desmontaje, Ensamblaje, Ajuste, Apropiación</w:t>
            </w:r>
          </w:p>
        </w:tc>
      </w:tr>
      <w:tr>
        <w:trPr>
          <w:cantSplit/>
        </w:trPr>
        <w:tc>
          <w:tcPr>
            <w:tcW w:type="dxa" w:w="2448"/>
          </w:tcPr>
          <w:p>
            <w:r/>
            <w:r>
              <w:rPr>
                <w:sz w:val="19"/>
              </w:rPr>
              <w:t>Frentes (el qué)</w:t>
            </w:r>
          </w:p>
        </w:tc>
        <w:tc>
          <w:tcPr>
            <w:tcW w:type="dxa" w:w="3456"/>
          </w:tcPr>
          <w:p>
            <w:r/>
            <w:r>
              <w:rPr>
                <w:sz w:val="19"/>
              </w:rPr>
              <w:t>¿Qué se evalúa dentro del Diagnóstico?</w:t>
            </w:r>
          </w:p>
        </w:tc>
        <w:tc>
          <w:tcPr>
            <w:tcW w:type="dxa" w:w="3600"/>
          </w:tcPr>
          <w:p>
            <w:r/>
            <w:r>
              <w:rPr>
                <w:sz w:val="19"/>
              </w:rPr>
              <w:t>Propósito, Carácter, Motivación, Autoconocimiento, Energía, Relaciones, Imagen, Trayectoria</w:t>
            </w:r>
          </w:p>
        </w:tc>
      </w:tr>
      <w:tr>
        <w:trPr>
          <w:cantSplit/>
        </w:trPr>
        <w:tc>
          <w:tcPr>
            <w:tcW w:type="dxa" w:w="2448"/>
          </w:tcPr>
          <w:p>
            <w:r/>
            <w:r>
              <w:rPr>
                <w:sz w:val="19"/>
              </w:rPr>
              <w:t>Capas transversales (el trasfondo)</w:t>
            </w:r>
          </w:p>
        </w:tc>
        <w:tc>
          <w:tcPr>
            <w:tcW w:type="dxa" w:w="3456"/>
          </w:tcPr>
          <w:p>
            <w:r/>
            <w:r>
              <w:rPr>
                <w:sz w:val="19"/>
              </w:rPr>
              <w:t>¿Qué corre por debajo de todas las fases sin ser un paso aparte?</w:t>
            </w:r>
          </w:p>
        </w:tc>
        <w:tc>
          <w:tcPr>
            <w:tcW w:type="dxa" w:w="3600"/>
          </w:tcPr>
          <w:p>
            <w:r/>
            <w:r>
              <w:rPr>
                <w:sz w:val="19"/>
              </w:rPr>
              <w:t>La Palabra (capa de fe) y Tecnología/IA (capa de sistema, vía Bindpoint)</w:t>
            </w:r>
          </w:p>
        </w:tc>
      </w:tr>
    </w:tbl>
    <w:p>
      <w:pPr>
        <w:spacing w:after="80"/>
      </w:pPr>
    </w:p>
    <w:p>
      <w:r>
        <w:rPr>
          <w:b w:val="0"/>
          <w:i w:val="0"/>
        </w:rPr>
        <w:t>Las fases dan la secuencia temporal, los frentes dan el contenido de lo que se diagnostica y restaura, y las capas transversales explican por qué el proceso es coherente de principio a fin y no una colección de pasos inconexos.</w:t>
      </w:r>
    </w:p>
    <w:p>
      <w:pPr>
        <w:pStyle w:val="Heading1"/>
      </w:pPr>
      <w:r>
        <w:t>3. Las cinco fases del proceso</w:t>
      </w:r>
    </w:p>
    <w:p>
      <w:pPr>
        <w:spacing w:before="40" w:after="280"/>
        <w:pBdr>
          <w:bottom w:val="single" w:sz="8" w:space="1" w:color="C8922A"/>
        </w:pBdr>
      </w:pPr>
    </w:p>
    <w:p>
      <w:pPr>
        <w:pStyle w:val="Heading2"/>
      </w:pPr>
      <w:r>
        <w:t>3.1 Diagnóstico</w:t>
      </w:r>
    </w:p>
    <w:p>
      <w:r>
        <w:rPr>
          <w:b w:val="0"/>
          <w:i w:val="0"/>
        </w:rPr>
        <w:t>Se levanta el estado real de los ocho frentes y, cuando el sujeto es equipo u organización, de la pista estructural. Es observación honesta antes que prescripción.</w:t>
      </w:r>
    </w:p>
    <w:p>
      <w:pPr>
        <w:pStyle w:val="Heading2"/>
      </w:pPr>
      <w:r>
        <w:t>3.2 Desmontaje</w:t>
      </w:r>
    </w:p>
    <w:p>
      <w:r>
        <w:rPr>
          <w:b w:val="0"/>
          <w:i w:val="0"/>
        </w:rPr>
        <w:t>Los hallazgos del Diagnóstico se clasifican por tipo de intervención que requieren: Reparación, Recambio o Mejora. Es el paso que ordena el problema antes de tocarlo.</w:t>
      </w:r>
    </w:p>
    <w:p>
      <w:pPr>
        <w:pStyle w:val="Heading2"/>
      </w:pPr>
      <w:r>
        <w:t>3.3 Ensamblaje</w:t>
      </w:r>
    </w:p>
    <w:p>
      <w:r>
        <w:rPr>
          <w:b w:val="0"/>
          <w:i w:val="0"/>
        </w:rPr>
        <w:t>Se reconstruye con lo clasificado en Desmontaje: lo que se repara, lo que se recambia, lo que se mejora, vuelve a integrarse en un conjunto que funciona.</w:t>
      </w:r>
    </w:p>
    <w:p>
      <w:pPr>
        <w:pStyle w:val="Heading2"/>
      </w:pPr>
      <w:r>
        <w:t>3.4 Ajuste</w:t>
      </w:r>
    </w:p>
    <w:p>
      <w:r>
        <w:rPr>
          <w:b w:val="0"/>
          <w:i w:val="0"/>
        </w:rPr>
        <w:t>Se prueba, se calibra, se repite hasta que funciona con precisión. No es una sola prueba: es un ciclo que se repite las veces que haga falta antes de dar por cerrado el trabajo.</w:t>
      </w:r>
    </w:p>
    <w:p>
      <w:pPr>
        <w:pStyle w:val="Heading2"/>
      </w:pPr>
      <w:r>
        <w:t>3.5 Apropiación</w:t>
      </w:r>
    </w:p>
    <w:p>
      <w:r>
        <w:rPr>
          <w:b w:val="0"/>
          <w:i w:val="0"/>
        </w:rPr>
        <w:t>La fase más novedosa del modelo y la menos representada en la consultoría convencional, que suele terminar en la entrega del diagnóstico o el cierre del programa. Aquí el cambio se vuelve propio del cliente: un compromiso concreto por cada uno de los ocho frentes, una Bitácora de Apropiación con los puntajes de antes y después, y una revisión cada tres semanas con un aliado. Detalle completo en la sección 6.</w:t>
      </w:r>
    </w:p>
    <w:tbl>
      <w:tblPr>
        <w:tblStyle w:val="TableGrid"/>
        <w:tblW w:type="auto" w:w="0"/>
        <w:jc w:val="center"/>
        <w:tblLayout w:type="autofit"/>
        <w:tblLook w:firstColumn="1" w:firstRow="1" w:lastColumn="0" w:lastRow="0" w:noHBand="0" w:noVBand="1" w:val="04A0"/>
      </w:tblPr>
      <w:tblGrid>
        <w:gridCol w:w="4759"/>
        <w:gridCol w:w="4759"/>
      </w:tblGrid>
      <w:tr>
        <w:trPr>
          <w:cantSplit/>
        </w:trPr>
        <w:tc>
          <w:tcPr>
            <w:tcW w:type="dxa" w:w="5040"/>
            <w:shd w:val="clear" w:color="auto" w:fill="142847"/>
          </w:tcPr>
          <w:p>
            <w:r/>
            <w:r>
              <w:rPr>
                <w:b/>
                <w:color w:val="FFFFFF"/>
                <w:sz w:val="20"/>
              </w:rPr>
              <w:t>Fase</w:t>
            </w:r>
          </w:p>
        </w:tc>
        <w:tc>
          <w:tcPr>
            <w:tcW w:type="dxa" w:w="5040"/>
            <w:shd w:val="clear" w:color="auto" w:fill="142847"/>
          </w:tcPr>
          <w:p>
            <w:r/>
            <w:r>
              <w:rPr>
                <w:b/>
                <w:color w:val="FFFFFF"/>
                <w:sz w:val="20"/>
              </w:rPr>
              <w:t>Se entrega en</w:t>
            </w:r>
          </w:p>
        </w:tc>
      </w:tr>
      <w:tr>
        <w:trPr>
          <w:cantSplit/>
        </w:trPr>
        <w:tc>
          <w:tcPr>
            <w:tcW w:type="dxa" w:w="5040"/>
          </w:tcPr>
          <w:p>
            <w:r/>
            <w:r>
              <w:rPr>
                <w:sz w:val="19"/>
              </w:rPr>
              <w:t>Diagnóstico + Desmontaje</w:t>
            </w:r>
          </w:p>
        </w:tc>
        <w:tc>
          <w:tcPr>
            <w:tcW w:type="dxa" w:w="5040"/>
          </w:tcPr>
          <w:p>
            <w:r/>
            <w:r>
              <w:rPr>
                <w:sz w:val="19"/>
              </w:rPr>
              <w:t>Diagnóstico Comercial (2 a 3 semanas)</w:t>
            </w:r>
          </w:p>
        </w:tc>
      </w:tr>
      <w:tr>
        <w:trPr>
          <w:cantSplit/>
        </w:trPr>
        <w:tc>
          <w:tcPr>
            <w:tcW w:type="dxa" w:w="5040"/>
          </w:tcPr>
          <w:p>
            <w:r/>
            <w:r>
              <w:rPr>
                <w:sz w:val="19"/>
              </w:rPr>
              <w:t>Ensamblaje + Ajuste + Apropiación</w:t>
            </w:r>
          </w:p>
        </w:tc>
        <w:tc>
          <w:tcPr>
            <w:tcW w:type="dxa" w:w="5040"/>
          </w:tcPr>
          <w:p>
            <w:r/>
            <w:r>
              <w:rPr>
                <w:sz w:val="19"/>
              </w:rPr>
              <w:t>Programa de Restauración a la Medida</w:t>
            </w:r>
          </w:p>
        </w:tc>
      </w:tr>
    </w:tbl>
    <w:p>
      <w:pPr>
        <w:spacing w:after="80"/>
      </w:pPr>
    </w:p>
    <w:p>
      <w:pPr>
        <w:pStyle w:val="Heading1"/>
      </w:pPr>
      <w:r>
        <w:t>4. Los ocho frentes universales (equipo y organización)</w:t>
      </w:r>
    </w:p>
    <w:p>
      <w:pPr>
        <w:spacing w:before="40" w:after="280"/>
        <w:pBdr>
          <w:bottom w:val="single" w:sz="8" w:space="1" w:color="C8922A"/>
        </w:pBdr>
      </w:pPr>
    </w:p>
    <w:p>
      <w:r>
        <w:rPr>
          <w:b w:val="0"/>
          <w:i w:val="0"/>
        </w:rPr>
        <w:t>Este set de ocho frentes reemplazó dos intentos anteriores de nombrarlos como acróstico, uno sobre partes de vehículo y otro sobre vocabulario de relojería. Ambos se descartaron por la misma razón: forzar un acróstico llevaba a elegir palabras por su inicial y no por su claridad. El nombre del instrumento personal (RESTAURA, ver sección 8) quedó desacoplado del nombre de estos ocho frentes.</w:t>
      </w:r>
    </w:p>
    <w:tbl>
      <w:tblPr>
        <w:tblStyle w:val="TableGrid"/>
        <w:tblW w:type="auto" w:w="0"/>
        <w:jc w:val="center"/>
        <w:tblLayout w:type="autofit"/>
        <w:tblLook w:firstColumn="1" w:firstRow="1" w:lastColumn="0" w:lastRow="0" w:noHBand="0" w:noVBand="1" w:val="04A0"/>
      </w:tblPr>
      <w:tblGrid>
        <w:gridCol w:w="4759"/>
        <w:gridCol w:w="4759"/>
      </w:tblGrid>
      <w:tr>
        <w:trPr>
          <w:cantSplit/>
        </w:trPr>
        <w:tc>
          <w:tcPr>
            <w:tcW w:type="dxa" w:w="2880"/>
            <w:shd w:val="clear" w:color="auto" w:fill="142847"/>
          </w:tcPr>
          <w:p>
            <w:r/>
            <w:r>
              <w:rPr>
                <w:b/>
                <w:color w:val="FFFFFF"/>
                <w:sz w:val="20"/>
              </w:rPr>
              <w:t>Frente</w:t>
            </w:r>
          </w:p>
        </w:tc>
        <w:tc>
          <w:tcPr>
            <w:tcW w:type="dxa" w:w="6912"/>
            <w:shd w:val="clear" w:color="auto" w:fill="142847"/>
          </w:tcPr>
          <w:p>
            <w:r/>
            <w:r>
              <w:rPr>
                <w:b/>
                <w:color w:val="FFFFFF"/>
                <w:sz w:val="20"/>
              </w:rPr>
              <w:t>Qué evalúa</w:t>
            </w:r>
          </w:p>
        </w:tc>
      </w:tr>
      <w:tr>
        <w:trPr>
          <w:cantSplit/>
        </w:trPr>
        <w:tc>
          <w:tcPr>
            <w:tcW w:type="dxa" w:w="2880"/>
          </w:tcPr>
          <w:p>
            <w:r/>
            <w:r>
              <w:rPr>
                <w:sz w:val="19"/>
              </w:rPr>
              <w:t>Propósito</w:t>
            </w:r>
          </w:p>
        </w:tc>
        <w:tc>
          <w:tcPr>
            <w:tcW w:type="dxa" w:w="6912"/>
          </w:tcPr>
          <w:p>
            <w:r/>
            <w:r>
              <w:rPr>
                <w:sz w:val="19"/>
              </w:rPr>
              <w:t>Para qué existe esto, hacia dónde va.</w:t>
            </w:r>
          </w:p>
        </w:tc>
      </w:tr>
      <w:tr>
        <w:trPr>
          <w:cantSplit/>
        </w:trPr>
        <w:tc>
          <w:tcPr>
            <w:tcW w:type="dxa" w:w="2880"/>
          </w:tcPr>
          <w:p>
            <w:r/>
            <w:r>
              <w:rPr>
                <w:sz w:val="19"/>
              </w:rPr>
              <w:t>Carácter</w:t>
            </w:r>
          </w:p>
        </w:tc>
        <w:tc>
          <w:tcPr>
            <w:tcW w:type="dxa" w:w="6912"/>
          </w:tcPr>
          <w:p>
            <w:r/>
            <w:r>
              <w:rPr>
                <w:sz w:val="19"/>
              </w:rPr>
              <w:t>La base sobre la que todo lo demás se sostiene.</w:t>
            </w:r>
          </w:p>
        </w:tc>
      </w:tr>
      <w:tr>
        <w:trPr>
          <w:cantSplit/>
        </w:trPr>
        <w:tc>
          <w:tcPr>
            <w:tcW w:type="dxa" w:w="2880"/>
          </w:tcPr>
          <w:p>
            <w:r/>
            <w:r>
              <w:rPr>
                <w:sz w:val="19"/>
              </w:rPr>
              <w:t>Motivación</w:t>
            </w:r>
          </w:p>
        </w:tc>
        <w:tc>
          <w:tcPr>
            <w:tcW w:type="dxa" w:w="6912"/>
          </w:tcPr>
          <w:p>
            <w:r/>
            <w:r>
              <w:rPr>
                <w:sz w:val="19"/>
              </w:rPr>
              <w:t>Lo que lo mueve desde adentro.</w:t>
            </w:r>
          </w:p>
        </w:tc>
      </w:tr>
      <w:tr>
        <w:trPr>
          <w:cantSplit/>
        </w:trPr>
        <w:tc>
          <w:tcPr>
            <w:tcW w:type="dxa" w:w="2880"/>
          </w:tcPr>
          <w:p>
            <w:r/>
            <w:r>
              <w:rPr>
                <w:sz w:val="19"/>
              </w:rPr>
              <w:t>Autoconocimiento</w:t>
            </w:r>
          </w:p>
        </w:tc>
        <w:tc>
          <w:tcPr>
            <w:tcW w:type="dxa" w:w="6912"/>
          </w:tcPr>
          <w:p>
            <w:r/>
            <w:r>
              <w:rPr>
                <w:sz w:val="19"/>
              </w:rPr>
              <w:t>Qué tan bien se conoce a sí mismo, cuál es su estado real.</w:t>
            </w:r>
          </w:p>
        </w:tc>
      </w:tr>
      <w:tr>
        <w:trPr>
          <w:cantSplit/>
        </w:trPr>
        <w:tc>
          <w:tcPr>
            <w:tcW w:type="dxa" w:w="2880"/>
          </w:tcPr>
          <w:p>
            <w:r/>
            <w:r>
              <w:rPr>
                <w:sz w:val="19"/>
              </w:rPr>
              <w:t>Energía</w:t>
            </w:r>
          </w:p>
        </w:tc>
        <w:tc>
          <w:tcPr>
            <w:tcW w:type="dxa" w:w="6912"/>
          </w:tcPr>
          <w:p>
            <w:r/>
            <w:r>
              <w:rPr>
                <w:sz w:val="19"/>
              </w:rPr>
              <w:t>Lo que lo sostiene día a día.</w:t>
            </w:r>
          </w:p>
        </w:tc>
      </w:tr>
      <w:tr>
        <w:trPr>
          <w:cantSplit/>
        </w:trPr>
        <w:tc>
          <w:tcPr>
            <w:tcW w:type="dxa" w:w="2880"/>
          </w:tcPr>
          <w:p>
            <w:r/>
            <w:r>
              <w:rPr>
                <w:sz w:val="19"/>
              </w:rPr>
              <w:t>Relaciones</w:t>
            </w:r>
          </w:p>
        </w:tc>
        <w:tc>
          <w:tcPr>
            <w:tcW w:type="dxa" w:w="6912"/>
          </w:tcPr>
          <w:p>
            <w:r/>
            <w:r>
              <w:rPr>
                <w:sz w:val="19"/>
              </w:rPr>
              <w:t>Quién depende de esto, y de quién depende esto.</w:t>
            </w:r>
          </w:p>
        </w:tc>
      </w:tr>
      <w:tr>
        <w:trPr>
          <w:cantSplit/>
        </w:trPr>
        <w:tc>
          <w:tcPr>
            <w:tcW w:type="dxa" w:w="2880"/>
          </w:tcPr>
          <w:p>
            <w:r/>
            <w:r>
              <w:rPr>
                <w:sz w:val="19"/>
              </w:rPr>
              <w:t>Imagen</w:t>
            </w:r>
          </w:p>
        </w:tc>
        <w:tc>
          <w:tcPr>
            <w:tcW w:type="dxa" w:w="6912"/>
          </w:tcPr>
          <w:p>
            <w:r/>
            <w:r>
              <w:rPr>
                <w:sz w:val="19"/>
              </w:rPr>
              <w:t>Cómo se presenta, qué ven los demás.</w:t>
            </w:r>
          </w:p>
        </w:tc>
      </w:tr>
      <w:tr>
        <w:trPr>
          <w:cantSplit/>
        </w:trPr>
        <w:tc>
          <w:tcPr>
            <w:tcW w:type="dxa" w:w="2880"/>
          </w:tcPr>
          <w:p>
            <w:r/>
            <w:r>
              <w:rPr>
                <w:sz w:val="19"/>
              </w:rPr>
              <w:t>Trayectoria</w:t>
            </w:r>
          </w:p>
        </w:tc>
        <w:tc>
          <w:tcPr>
            <w:tcW w:type="dxa" w:w="6912"/>
          </w:tcPr>
          <w:p>
            <w:r/>
            <w:r>
              <w:rPr>
                <w:sz w:val="19"/>
              </w:rPr>
              <w:t>El camino recorrido hasta ahora, la evidencia acumulada.</w:t>
            </w:r>
          </w:p>
        </w:tc>
      </w:tr>
    </w:tbl>
    <w:p>
      <w:pPr>
        <w:spacing w:after="80"/>
      </w:pPr>
    </w:p>
    <w:p>
      <w:pPr>
        <w:pStyle w:val="Heading2"/>
      </w:pPr>
      <w:r>
        <w:t>4.1 Dos secuencias distintas, un mismo conjunto</w:t>
      </w:r>
    </w:p>
    <w:p>
      <w:pPr>
        <w:pStyle w:val="ListBullet"/>
      </w:pPr>
      <w:r>
        <w:rPr>
          <w:b/>
        </w:rPr>
        <w:t xml:space="preserve">Orden narrativo: </w:t>
      </w:r>
      <w:r>
        <w:t>en todo el material público y comercial se usa el orden narrativo Propósito → Carácter → Motivación → Autoconocimiento → Energía → Relaciones → Imagen → Trayectoria, porque comunica mejor la lógica del proceso a un prospecto que lo ve por primera vez;</w:t>
      </w:r>
    </w:p>
    <w:p>
      <w:pPr>
        <w:pStyle w:val="ListBullet"/>
      </w:pPr>
      <w:r>
        <w:rPr>
          <w:b/>
        </w:rPr>
        <w:t xml:space="preserve">Orden de entrega: </w:t>
      </w:r>
      <w:r>
        <w:t>en la entrega real con un cliente, la secuencia recomendada empieza por los frentes más observables (Trayectoria, Autoconocimiento) antes de abrir los más vulnerables (Carácter, Propósito), que requieren más confianza ya construida. Nota operativa interna, no reflejada en la copy pública.</w:t>
      </w:r>
    </w:p>
    <w:p>
      <w:pPr>
        <w:pStyle w:val="Heading2"/>
      </w:pPr>
      <w:r>
        <w:t>4.2 Diferenciación según el sujeto del diagnóstico</w:t>
      </w:r>
    </w:p>
    <w:p>
      <w:r>
        <w:rPr>
          <w:b w:val="0"/>
          <w:i w:val="0"/>
        </w:rPr>
        <w:t>Los ocho frentes aplican igual a una persona, un equipo comercial o una organización completa, pero los indicadores concretos cambian según el sujeto. El caso más importante es Autoconocimiento: en una persona se traduce en autopercepción y conciencia de puntos ciegos; en un equipo u organización se manifiesta como salud operativa, higiene del CRM, visibilidad del embudo, precisión del forecast. Esta lectura resuelve dónde queda "proceso" dentro de los ocho frentes sin necesidad de un noveno frente dedicado.</w:t>
      </w:r>
    </w:p>
    <w:p>
      <w:pPr>
        <w:pStyle w:val="Heading1"/>
      </w:pPr>
      <w:r>
        <w:t>5. La pista estructural (equipo y organización)</w:t>
      </w:r>
    </w:p>
    <w:p>
      <w:pPr>
        <w:spacing w:before="40" w:after="280"/>
        <w:pBdr>
          <w:bottom w:val="single" w:sz="8" w:space="1" w:color="C8922A"/>
        </w:pBdr>
      </w:pPr>
    </w:p>
    <w:p>
      <w:r>
        <w:rPr>
          <w:b w:val="0"/>
          <w:i w:val="0"/>
        </w:rPr>
        <w:t>Junto a los ocho frentes, el Diagnóstico levanta una segunda lectura, exclusiva de equipo u organización: cinco condiciones del entorno que pueden estar rotas aunque las personas, individualmente, estén bien.</w:t>
      </w:r>
    </w:p>
    <w:tbl>
      <w:tblPr>
        <w:tblStyle w:val="TableGrid"/>
        <w:tblW w:type="auto" w:w="0"/>
        <w:jc w:val="center"/>
        <w:tblLayout w:type="autofit"/>
        <w:tblLook w:firstColumn="1" w:firstRow="1" w:lastColumn="0" w:lastRow="0" w:noHBand="0" w:noVBand="1" w:val="04A0"/>
      </w:tblPr>
      <w:tblGrid>
        <w:gridCol w:w="4759"/>
        <w:gridCol w:w="4759"/>
      </w:tblGrid>
      <w:tr>
        <w:trPr>
          <w:cantSplit/>
        </w:trPr>
        <w:tc>
          <w:tcPr>
            <w:tcW w:type="dxa" w:w="3168"/>
            <w:shd w:val="clear" w:color="auto" w:fill="142847"/>
          </w:tcPr>
          <w:p>
            <w:r/>
            <w:r>
              <w:rPr>
                <w:b/>
                <w:color w:val="FFFFFF"/>
                <w:sz w:val="20"/>
              </w:rPr>
              <w:t>Condición</w:t>
            </w:r>
          </w:p>
        </w:tc>
        <w:tc>
          <w:tcPr>
            <w:tcW w:type="dxa" w:w="6624"/>
            <w:shd w:val="clear" w:color="auto" w:fill="142847"/>
          </w:tcPr>
          <w:p>
            <w:r/>
            <w:r>
              <w:rPr>
                <w:b/>
                <w:color w:val="FFFFFF"/>
                <w:sz w:val="20"/>
              </w:rPr>
              <w:t>Qué evalúa</w:t>
            </w:r>
          </w:p>
        </w:tc>
      </w:tr>
      <w:tr>
        <w:trPr>
          <w:cantSplit/>
        </w:trPr>
        <w:tc>
          <w:tcPr>
            <w:tcW w:type="dxa" w:w="3168"/>
          </w:tcPr>
          <w:p>
            <w:r/>
            <w:r>
              <w:rPr>
                <w:sz w:val="19"/>
              </w:rPr>
              <w:t>Procesos</w:t>
            </w:r>
          </w:p>
        </w:tc>
        <w:tc>
          <w:tcPr>
            <w:tcW w:type="dxa" w:w="6624"/>
          </w:tcPr>
          <w:p>
            <w:r/>
            <w:r>
              <w:rPr>
                <w:sz w:val="19"/>
              </w:rPr>
              <w:t>Si el trabajo depende de la memoria y el heroísmo individual o de un sistema documentado y repetible.</w:t>
            </w:r>
          </w:p>
        </w:tc>
      </w:tr>
      <w:tr>
        <w:trPr>
          <w:cantSplit/>
        </w:trPr>
        <w:tc>
          <w:tcPr>
            <w:tcW w:type="dxa" w:w="3168"/>
          </w:tcPr>
          <w:p>
            <w:r/>
            <w:r>
              <w:rPr>
                <w:sz w:val="19"/>
              </w:rPr>
              <w:t>Sistemas y tecnología</w:t>
            </w:r>
          </w:p>
        </w:tc>
        <w:tc>
          <w:tcPr>
            <w:tcW w:type="dxa" w:w="6624"/>
          </w:tcPr>
          <w:p>
            <w:r/>
            <w:r>
              <w:rPr>
                <w:sz w:val="19"/>
              </w:rPr>
              <w:t>Si las herramientas (CRM y demás) reflejan la realidad del negocio o se llenan por obligación y se ignoran después.</w:t>
            </w:r>
          </w:p>
        </w:tc>
      </w:tr>
      <w:tr>
        <w:trPr>
          <w:cantSplit/>
        </w:trPr>
        <w:tc>
          <w:tcPr>
            <w:tcW w:type="dxa" w:w="3168"/>
          </w:tcPr>
          <w:p>
            <w:r/>
            <w:r>
              <w:rPr>
                <w:sz w:val="19"/>
              </w:rPr>
              <w:t>Compensación e incentivos</w:t>
            </w:r>
          </w:p>
        </w:tc>
        <w:tc>
          <w:tcPr>
            <w:tcW w:type="dxa" w:w="6624"/>
          </w:tcPr>
          <w:p>
            <w:r/>
            <w:r>
              <w:rPr>
                <w:sz w:val="19"/>
              </w:rPr>
              <w:t>Si el esquema de pago premia el comportamiento que la organización dice querer, o premia sin querer lo contrario.</w:t>
            </w:r>
          </w:p>
        </w:tc>
      </w:tr>
      <w:tr>
        <w:trPr>
          <w:cantSplit/>
        </w:trPr>
        <w:tc>
          <w:tcPr>
            <w:tcW w:type="dxa" w:w="3168"/>
          </w:tcPr>
          <w:p>
            <w:r/>
            <w:r>
              <w:rPr>
                <w:sz w:val="19"/>
              </w:rPr>
              <w:t>Estilo de liderazgo</w:t>
            </w:r>
          </w:p>
        </w:tc>
        <w:tc>
          <w:tcPr>
            <w:tcW w:type="dxa" w:w="6624"/>
          </w:tcPr>
          <w:p>
            <w:r/>
            <w:r>
              <w:rPr>
                <w:sz w:val="19"/>
              </w:rPr>
              <w:t>Si la forma de liderar del jefe directo refuerza el cambio o lo revierte apenas el consultor sale de la sala.</w:t>
            </w:r>
          </w:p>
        </w:tc>
      </w:tr>
      <w:tr>
        <w:trPr>
          <w:cantSplit/>
        </w:trPr>
        <w:tc>
          <w:tcPr>
            <w:tcW w:type="dxa" w:w="3168"/>
          </w:tcPr>
          <w:p>
            <w:r/>
            <w:r>
              <w:rPr>
                <w:sz w:val="19"/>
              </w:rPr>
              <w:t>Formación y actualización</w:t>
            </w:r>
          </w:p>
        </w:tc>
        <w:tc>
          <w:tcPr>
            <w:tcW w:type="dxa" w:w="6624"/>
          </w:tcPr>
          <w:p>
            <w:r/>
            <w:r>
              <w:rPr>
                <w:sz w:val="19"/>
              </w:rPr>
              <w:t>Si existe un sistema repetible para que el equipo actualice conocimiento y técnica, o si cada quien se forma por su cuenta y lo aprendido se vuelve obsoleto sin que nadie lo note.</w:t>
            </w:r>
          </w:p>
        </w:tc>
      </w:tr>
    </w:tbl>
    <w:p>
      <w:pPr>
        <w:spacing w:after="80"/>
      </w:pPr>
    </w:p>
    <w:p>
      <w:r>
        <w:rPr>
          <w:b w:val="0"/>
          <w:i w:val="0"/>
        </w:rPr>
        <w:t>A diferencia de los ocho frentes, esta pista no se puntúa de 1 a 10: son condiciones del entorno, y se registran como hallazgo cualitativo (funciona, no funciona, o a medias). Entra en Diagnóstico, se clasifica en Desmontaje junto con los hallazgos humanos, y se ejecuta en Ensamblaje y Ajuste.</w:t>
      </w:r>
    </w:p>
    <w:p>
      <w:r>
        <w:rPr>
          <w:b w:val="0"/>
          <w:i w:val="0"/>
        </w:rPr>
        <w:t>Formación y actualización es la quinta condición, agregada después de las primeras cuatro: no pregunta si algo está roto hoy, pregunta si existe un mecanismo para que no se rompa por obsolescencia mañana. Por eso su ejecución no termina en Ensamblaje: se sostiene dentro de Apropiación, como parte de lo que la revisión periódica con el Aliado y el Promotor debe verificar.</w:t>
      </w:r>
    </w:p>
    <w:p>
      <w:r>
        <w:rPr>
          <w:b w:val="0"/>
          <w:i w:val="0"/>
        </w:rPr>
        <w:t>Compensación e incentivos y estilo de liderazgo son, según el estudio de mercado que valida esta versión del modelo, los dos diagnósticos que casi ninguna firma de la región nombra de forma explícita, y son hoy el diferenciador de método más defendible frente a la consultoría de transformación cultural convencional. Por eso la pista estructural se ofrece dentro del Diagnóstico Comercial estándar cuando el sujeto es equipo u organización, no se reserva como upsell del Programa a la Medida.</w:t>
      </w:r>
    </w:p>
    <w:p>
      <w:pPr>
        <w:spacing w:before="80" w:after="200"/>
        <w:pBdr>
          <w:left w:val="single" w:sz="18" w:space="8" w:color="E07B39"/>
        </w:pBdr>
      </w:pPr>
      <w:r>
        <w:rPr>
          <w:b/>
          <w:color w:val="E07B39"/>
          <w:sz w:val="20"/>
        </w:rPr>
        <w:t xml:space="preserve">LÍMITE ABIERTO: </w:t>
      </w:r>
      <w:r>
        <w:rPr>
          <w:i/>
          <w:color w:val="555555"/>
          <w:sz w:val="20"/>
        </w:rPr>
        <w:t>Compensación e incentivos tiene un límite práctico honesto: el acceso a cifras salariales reales del cliente no está garantizado, y qué tan a fondo se puede diagnosticar sin ver esas cifras sigue siendo una pregunta abierta, pendiente de resolver en el primer caso real.</w:t>
      </w:r>
    </w:p>
    <w:p>
      <w:pPr>
        <w:pStyle w:val="Heading1"/>
      </w:pPr>
      <w:r>
        <w:t>6. Apropiación en profundidad</w:t>
      </w:r>
    </w:p>
    <w:p>
      <w:pPr>
        <w:spacing w:before="40" w:after="280"/>
        <w:pBdr>
          <w:bottom w:val="single" w:sz="8" w:space="1" w:color="C8922A"/>
        </w:pBdr>
      </w:pPr>
    </w:p>
    <w:p>
      <w:r>
        <w:rPr>
          <w:b w:val="0"/>
          <w:i w:val="0"/>
        </w:rPr>
        <w:t>La contribución más novedosa del modelo frente a la literatura convencional de cambio organizacional, y también su hipótesis menos probada en campo (ver sección 12). El problema que resuelve es conocido: la mayoría de procesos de formación, consultoría o coaching fallan no en el diagnóstico ni en la ejecución, sino en el sostenimiento después de que el consultor se retira.</w:t>
      </w:r>
    </w:p>
    <w:p>
      <w:r>
        <w:rPr>
          <w:b w:val="0"/>
          <w:i w:val="0"/>
        </w:rPr>
        <w:t>Restaura.do necesita una solución que sirva igual a una persona que se acerca sola, sin respaldo organizacional, como a un miembro de equipo sin autoridad formal o a un líder. Por eso el mecanismo se diseñó sobre un par entre iguales (un aliado), no sobre una relación jerárquica de gerente a colaborador.</w:t>
      </w:r>
    </w:p>
    <w:p>
      <w:pPr>
        <w:pStyle w:val="Heading2"/>
      </w:pPr>
      <w:r>
        <w:t>6.1 Mecánica</w:t>
      </w:r>
    </w:p>
    <w:p>
      <w:pPr>
        <w:pStyle w:val="ListBullet"/>
      </w:pPr>
      <w:r>
        <w:rPr>
          <w:b/>
        </w:rPr>
        <w:t xml:space="preserve">Compromisos: </w:t>
      </w:r>
      <w:r>
        <w:t>un compromiso concreto y verificable por cada uno de los ocho frentes, ocho compromisos en total;</w:t>
      </w:r>
    </w:p>
    <w:p>
      <w:pPr>
        <w:pStyle w:val="ListBullet"/>
      </w:pPr>
      <w:r>
        <w:rPr>
          <w:b/>
        </w:rPr>
        <w:t xml:space="preserve">Bitácora de Apropiación: </w:t>
      </w:r>
      <w:r>
        <w:t>un artefacto, físico o digital, que registra los puntajes de antes y después de cada frente en escala de 1 a 10, los ocho compromisos, y una grilla de seguimiento de doce semanas;</w:t>
      </w:r>
    </w:p>
    <w:p>
      <w:pPr>
        <w:pStyle w:val="ListBullet"/>
      </w:pPr>
      <w:r>
        <w:rPr>
          <w:b/>
        </w:rPr>
        <w:t xml:space="preserve">Revisión periódica: </w:t>
      </w:r>
      <w:r>
        <w:t>cada tres semanas, revisión de avance con un aliado elegido por el propio cliente, no un superior jerárquico, lo que hace el mecanismo viable incluso sin patrocinio organizacional.</w:t>
      </w:r>
    </w:p>
    <w:p>
      <w:pPr>
        <w:pStyle w:val="Heading2"/>
      </w:pPr>
      <w:r>
        <w:t>6.2 El Promotor</w:t>
      </w:r>
    </w:p>
    <w:p>
      <w:r>
        <w:rPr>
          <w:b w:val="0"/>
          <w:i w:val="0"/>
        </w:rPr>
        <w:t>Cuando el sujeto es un equipo o una organización, Apropiación suma un segundo reforzador: el Promotor, un líder que se compromete de forma visible con la implementación. No aplica a la persona que se acerca sola.</w:t>
      </w:r>
    </w:p>
    <w:p>
      <w:r>
        <w:rPr>
          <w:b w:val="0"/>
          <w:i w:val="0"/>
        </w:rPr>
        <w:t>Fundamentación de dos ángulos que coinciden: la investigación de gestión del cambio (Prosci, ADKAR) identifica el patrocinio visible de un líder como el factor individual con mayor correlación con el éxito de un cambio organizacional; la investigación de efectividad comercial coincide desde otro ángulo, el coaching del gerente de primera línea es el mayor amplificador del cambio individual de un vendedor.</w:t>
      </w:r>
    </w:p>
    <w:p>
      <w:r>
        <w:rPr>
          <w:b w:val="0"/>
          <w:i w:val="0"/>
        </w:rPr>
        <w:t>El Promotor no reemplaza al Aliado, se suma: el Aliado sostiene el hábito cotidiano entre pares con revisión cada tres semanas; el Promotor sostiene la legitimidad del cambio desde la autoridad, con cadencia menos frecuente y más simbólica (al cierre de cada fase). Recibe una sesión breve de entrenamiento (presencia visible, lenguaje consistente, no delegar el mensaje, reconocer avances en público), incluida en el precio del Programa a la Medida, no como línea de factura aparte.</w:t>
      </w:r>
    </w:p>
    <w:p>
      <w:pPr>
        <w:pStyle w:val="Heading1"/>
      </w:pPr>
      <w:r>
        <w:t>7. Capas transversales</w:t>
      </w:r>
    </w:p>
    <w:p>
      <w:pPr>
        <w:spacing w:before="40" w:after="280"/>
        <w:pBdr>
          <w:bottom w:val="single" w:sz="8" w:space="1" w:color="C8922A"/>
        </w:pBdr>
      </w:pPr>
    </w:p>
    <w:p>
      <w:r>
        <w:rPr>
          <w:b w:val="0"/>
          <w:i w:val="0"/>
        </w:rPr>
        <w:t>Dos capas atraviesan las cinco fases sin ser un paso aparte del proceso.</w:t>
      </w:r>
    </w:p>
    <w:p>
      <w:pPr>
        <w:pStyle w:val="Heading2"/>
      </w:pPr>
      <w:r>
        <w:t>7.1 La Palabra: arquitectura de dos registros</w:t>
      </w:r>
    </w:p>
    <w:p>
      <w:r>
        <w:rPr>
          <w:b w:val="0"/>
          <w:i w:val="0"/>
        </w:rPr>
        <w:t>La fe es una capa transversal del método, no una fase ni un producto independiente. El modelo mismo ya es teología de la restauración traducida a lenguaje organizacional ("volver al diseño original", "restauración", "propósito"): quien comparte la fe lo reconoce de inmediato, quien no, lo recibe como una filosofía humanista potente.</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trPr>
        <w:tc>
          <w:tcPr>
            <w:tcW w:type="dxa" w:w="3024"/>
            <w:shd w:val="clear" w:color="auto" w:fill="142847"/>
          </w:tcPr>
          <w:p>
            <w:r/>
            <w:r>
              <w:rPr>
                <w:b/>
                <w:color w:val="FFFFFF"/>
                <w:sz w:val="20"/>
              </w:rPr>
              <w:t>Marca</w:t>
            </w:r>
          </w:p>
        </w:tc>
        <w:tc>
          <w:tcPr>
            <w:tcW w:type="dxa" w:w="4608"/>
            <w:shd w:val="clear" w:color="auto" w:fill="142847"/>
          </w:tcPr>
          <w:p>
            <w:r/>
            <w:r>
              <w:rPr>
                <w:b/>
                <w:color w:val="FFFFFF"/>
                <w:sz w:val="20"/>
              </w:rPr>
              <w:t>Registro</w:t>
            </w:r>
          </w:p>
        </w:tc>
        <w:tc>
          <w:tcPr>
            <w:tcW w:type="dxa" w:w="2736"/>
            <w:shd w:val="clear" w:color="auto" w:fill="142847"/>
          </w:tcPr>
          <w:p>
            <w:r/>
            <w:r>
              <w:rPr>
                <w:b/>
                <w:color w:val="FFFFFF"/>
                <w:sz w:val="20"/>
              </w:rPr>
              <w:t>Canales</w:t>
            </w:r>
          </w:p>
        </w:tc>
      </w:tr>
      <w:tr>
        <w:trPr>
          <w:cantSplit/>
        </w:trPr>
        <w:tc>
          <w:tcPr>
            <w:tcW w:type="dxa" w:w="3024"/>
          </w:tcPr>
          <w:p>
            <w:r/>
            <w:r>
              <w:rPr>
                <w:sz w:val="19"/>
              </w:rPr>
              <w:t>Oscar Gelves (marca personal)</w:t>
            </w:r>
          </w:p>
        </w:tc>
        <w:tc>
          <w:tcPr>
            <w:tcW w:type="dxa" w:w="4608"/>
          </w:tcPr>
          <w:p>
            <w:r/>
            <w:r>
              <w:rPr>
                <w:sz w:val="19"/>
              </w:rPr>
              <w:t>Ambos registros: profesional (el modelo, casos) y de fe explícita (principios de la Palabra aplicados al trabajo)</w:t>
            </w:r>
          </w:p>
        </w:tc>
        <w:tc>
          <w:tcPr>
            <w:tcW w:type="dxa" w:w="2736"/>
          </w:tcPr>
          <w:p>
            <w:r/>
            <w:r>
              <w:rPr>
                <w:sz w:val="19"/>
              </w:rPr>
              <w:t>YouTube como ancla, dos series separadas ("El modelo" y "Principios"). Instagram como puente</w:t>
            </w:r>
          </w:p>
        </w:tc>
      </w:tr>
      <w:tr>
        <w:trPr>
          <w:cantSplit/>
        </w:trPr>
        <w:tc>
          <w:tcPr>
            <w:tcW w:type="dxa" w:w="3024"/>
          </w:tcPr>
          <w:p>
            <w:r/>
            <w:r>
              <w:rPr>
                <w:sz w:val="19"/>
              </w:rPr>
              <w:t>Restaura.do (marca de práctica)</w:t>
            </w:r>
          </w:p>
        </w:tc>
        <w:tc>
          <w:tcPr>
            <w:tcW w:type="dxa" w:w="4608"/>
          </w:tcPr>
          <w:p>
            <w:r/>
            <w:r>
              <w:rPr>
                <w:sz w:val="19"/>
              </w:rPr>
              <w:t>Registro empresarial: metodología, Diagnóstico, programas. El lenguaje de restauración y diseño original hace el trabajo sin cita explícita</w:t>
            </w:r>
          </w:p>
        </w:tc>
        <w:tc>
          <w:tcPr>
            <w:tcW w:type="dxa" w:w="2736"/>
          </w:tcPr>
          <w:p>
            <w:r/>
            <w:r>
              <w:rPr>
                <w:sz w:val="19"/>
              </w:rPr>
              <w:t>Página web, LinkedIn, materiales comerciales</w:t>
            </w:r>
          </w:p>
        </w:tc>
      </w:tr>
    </w:tbl>
    <w:p>
      <w:pPr>
        <w:spacing w:after="80"/>
      </w:pPr>
    </w:p>
    <w:p>
      <w:r>
        <w:rPr>
          <w:b w:val="0"/>
          <w:i w:val="0"/>
        </w:rPr>
        <w:t>El comprador corporativo compra Restaura.do; la persona, si quiere ir más profundo, sigue a Oscar. Mismo camino que recorrieron referentes como John Maxwell y Patrick Lencioni.</w:t>
      </w:r>
    </w:p>
    <w:p>
      <w:pPr>
        <w:pStyle w:val="Heading2"/>
      </w:pPr>
      <w:r>
        <w:t>7.2 Tecnología / IA — Bindpoint</w:t>
      </w:r>
    </w:p>
    <w:p>
      <w:r>
        <w:rPr>
          <w:b w:val="0"/>
          <w:i w:val="0"/>
        </w:rPr>
        <w:t>La segunda capa transversal. Su vehículo es Bindpoint: la capa de proceso que gobierna el tramo entre un compromiso comercial y la entrega ejecutada, documentada y facturada. Vive al lado del CRM, no en su lugar, y se configura como un sistema tipo SaaS de marca blanca según la necesidad de cada cliente, partiendo de que el proceso es muy similar entre empresa y empresa. Es pieza propia de la arquitectura de Restaura.do, pensada para negocios de alto valor y bajo volumen con procesos exigentes de cumplimiento (consultoría, ingeniería, legal, construcción, educación ejecutiva) — exactamente el tipo de negocio de El Taller.</w:t>
      </w:r>
    </w:p>
    <w:p>
      <w:r>
        <w:rPr>
          <w:b w:val="0"/>
          <w:i w:val="0"/>
        </w:rPr>
        <w:t>Origen: Bindpoint es la evolución generalizada de Nexus, la plataforma que Oscar desarrolló dentro de OmniStem (módulos de Costeo, Plan, Connect y Centro de Acciones). Nexus fue la primera implementación real de la misma idea; Bindpoint es el nombre y la forma vigentes hacia adelante.</w:t>
      </w:r>
    </w:p>
    <w:p>
      <w:r>
        <w:rPr>
          <w:b w:val="0"/>
          <w:i w:val="0"/>
        </w:rPr>
        <w:t>Hoja de ruta, explícitamente de mediano plazo: primero ajustar Bindpoint al escenario de Restaura.do sin afectar el contrato de OmniStem (la arquitectura heredada de Nexus ya soporta un segundo flujo), después usarlo internamente dentro de Restaura.do como "cliente cero", y solo después evaluar una productización como SaaS independiente. No es prioridad inmediata frente a la activación comercial de El Taller.</w:t>
      </w:r>
    </w:p>
    <w:p>
      <w:pPr>
        <w:pStyle w:val="Heading1"/>
      </w:pPr>
      <w:r>
        <w:t>8. El instrumento personal RESTAURA</w:t>
      </w:r>
    </w:p>
    <w:p>
      <w:pPr>
        <w:spacing w:before="40" w:after="280"/>
        <w:pBdr>
          <w:bottom w:val="single" w:sz="8" w:space="1" w:color="C8922A"/>
        </w:pBdr>
      </w:pPr>
    </w:p>
    <w:p>
      <w:pPr>
        <w:spacing w:before="80" w:after="200"/>
        <w:pBdr>
          <w:left w:val="single" w:sz="18" w:space="8" w:color="E07B39"/>
        </w:pBdr>
      </w:pPr>
      <w:r>
        <w:rPr>
          <w:b/>
          <w:color w:val="E07B39"/>
          <w:sz w:val="20"/>
        </w:rPr>
        <w:t xml:space="preserve">DISTINCIÓN CLAVE: </w:t>
      </w:r>
      <w:r>
        <w:rPr>
          <w:i/>
          <w:color w:val="555555"/>
          <w:sz w:val="20"/>
        </w:rPr>
        <w:t>Este es un instrumento distinto del set de ocho frentes de la sección 4. No se mezclan: RESTAURA es el instrumento de evaluación de vida y liderazgo para una persona individual, versión final y acordada de nombres, definiciones y orden. El set de la sección 4 (Propósito, Carácter, Motivación...) es el marco de equipo y organización de El Taller. Ambos coexisten, no se sustituyen.</w:t>
      </w:r>
    </w:p>
    <w:p>
      <w:r>
        <w:rPr>
          <w:b w:val="0"/>
          <w:i w:val="0"/>
        </w:rPr>
        <w:t>RESTAURA es un acróstico de ocho frentes, diseñado para leerse sin necesitar explicación y para funcionar bajo cualquier metáfora de presentación, de forma que el sitio pueda usar la narrativa visual que convenga sin cambiar el contenido de fondo.</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trPr>
        <w:tc>
          <w:tcPr>
            <w:tcW w:type="dxa" w:w="1152"/>
            <w:shd w:val="clear" w:color="auto" w:fill="142847"/>
          </w:tcPr>
          <w:p>
            <w:r/>
            <w:r>
              <w:rPr>
                <w:b/>
                <w:color w:val="FFFFFF"/>
                <w:sz w:val="20"/>
              </w:rPr>
              <w:t>Letra</w:t>
            </w:r>
          </w:p>
        </w:tc>
        <w:tc>
          <w:tcPr>
            <w:tcW w:type="dxa" w:w="2592"/>
            <w:shd w:val="clear" w:color="auto" w:fill="142847"/>
          </w:tcPr>
          <w:p>
            <w:r/>
            <w:r>
              <w:rPr>
                <w:b/>
                <w:color w:val="FFFFFF"/>
                <w:sz w:val="20"/>
              </w:rPr>
              <w:t>Nombre</w:t>
            </w:r>
          </w:p>
        </w:tc>
        <w:tc>
          <w:tcPr>
            <w:tcW w:type="dxa" w:w="6048"/>
            <w:shd w:val="clear" w:color="auto" w:fill="142847"/>
          </w:tcPr>
          <w:p>
            <w:r/>
            <w:r>
              <w:rPr>
                <w:b/>
                <w:color w:val="FFFFFF"/>
                <w:sz w:val="20"/>
              </w:rPr>
              <w:t>Qué cubre</w:t>
            </w:r>
          </w:p>
        </w:tc>
      </w:tr>
      <w:tr>
        <w:trPr>
          <w:cantSplit/>
        </w:trPr>
        <w:tc>
          <w:tcPr>
            <w:tcW w:type="dxa" w:w="1152"/>
          </w:tcPr>
          <w:p>
            <w:r/>
            <w:r>
              <w:rPr>
                <w:sz w:val="19"/>
              </w:rPr>
              <w:t>R</w:t>
            </w:r>
          </w:p>
        </w:tc>
        <w:tc>
          <w:tcPr>
            <w:tcW w:type="dxa" w:w="2592"/>
          </w:tcPr>
          <w:p>
            <w:r/>
            <w:r>
              <w:rPr>
                <w:sz w:val="19"/>
              </w:rPr>
              <w:t>Respaldo</w:t>
            </w:r>
          </w:p>
        </w:tc>
        <w:tc>
          <w:tcPr>
            <w:tcW w:type="dxa" w:w="6048"/>
          </w:tcPr>
          <w:p>
            <w:r/>
            <w:r>
              <w:rPr>
                <w:sz w:val="19"/>
              </w:rPr>
              <w:t>Finanzas, patrimonio, base material</w:t>
            </w:r>
          </w:p>
        </w:tc>
      </w:tr>
      <w:tr>
        <w:trPr>
          <w:cantSplit/>
        </w:trPr>
        <w:tc>
          <w:tcPr>
            <w:tcW w:type="dxa" w:w="1152"/>
          </w:tcPr>
          <w:p>
            <w:r/>
            <w:r>
              <w:rPr>
                <w:sz w:val="19"/>
              </w:rPr>
              <w:t>E</w:t>
            </w:r>
          </w:p>
        </w:tc>
        <w:tc>
          <w:tcPr>
            <w:tcW w:type="dxa" w:w="2592"/>
          </w:tcPr>
          <w:p>
            <w:r/>
            <w:r>
              <w:rPr>
                <w:sz w:val="19"/>
              </w:rPr>
              <w:t>Energía</w:t>
            </w:r>
          </w:p>
        </w:tc>
        <w:tc>
          <w:tcPr>
            <w:tcW w:type="dxa" w:w="6048"/>
          </w:tcPr>
          <w:p>
            <w:r/>
            <w:r>
              <w:rPr>
                <w:sz w:val="19"/>
              </w:rPr>
              <w:t>Salud física, vitalidad, descanso</w:t>
            </w:r>
          </w:p>
        </w:tc>
      </w:tr>
      <w:tr>
        <w:trPr>
          <w:cantSplit/>
        </w:trPr>
        <w:tc>
          <w:tcPr>
            <w:tcW w:type="dxa" w:w="1152"/>
          </w:tcPr>
          <w:p>
            <w:r/>
            <w:r>
              <w:rPr>
                <w:sz w:val="19"/>
              </w:rPr>
              <w:t>S</w:t>
            </w:r>
          </w:p>
        </w:tc>
        <w:tc>
          <w:tcPr>
            <w:tcW w:type="dxa" w:w="2592"/>
          </w:tcPr>
          <w:p>
            <w:r/>
            <w:r>
              <w:rPr>
                <w:sz w:val="19"/>
              </w:rPr>
              <w:t>Sentido</w:t>
            </w:r>
          </w:p>
        </w:tc>
        <w:tc>
          <w:tcPr>
            <w:tcW w:type="dxa" w:w="6048"/>
          </w:tcPr>
          <w:p>
            <w:r/>
            <w:r>
              <w:rPr>
                <w:sz w:val="19"/>
              </w:rPr>
              <w:t>Propósito, motivación interior</w:t>
            </w:r>
          </w:p>
        </w:tc>
      </w:tr>
      <w:tr>
        <w:trPr>
          <w:cantSplit/>
        </w:trPr>
        <w:tc>
          <w:tcPr>
            <w:tcW w:type="dxa" w:w="1152"/>
          </w:tcPr>
          <w:p>
            <w:r/>
            <w:r>
              <w:rPr>
                <w:sz w:val="19"/>
              </w:rPr>
              <w:t>T</w:t>
            </w:r>
          </w:p>
        </w:tc>
        <w:tc>
          <w:tcPr>
            <w:tcW w:type="dxa" w:w="2592"/>
          </w:tcPr>
          <w:p>
            <w:r/>
            <w:r>
              <w:rPr>
                <w:sz w:val="19"/>
              </w:rPr>
              <w:t>Trayectoria</w:t>
            </w:r>
          </w:p>
        </w:tc>
        <w:tc>
          <w:tcPr>
            <w:tcW w:type="dxa" w:w="6048"/>
          </w:tcPr>
          <w:p>
            <w:r/>
            <w:r>
              <w:rPr>
                <w:sz w:val="19"/>
              </w:rPr>
              <w:t>Trabajo, carrera, ingresos</w:t>
            </w:r>
          </w:p>
        </w:tc>
      </w:tr>
      <w:tr>
        <w:trPr>
          <w:cantSplit/>
        </w:trPr>
        <w:tc>
          <w:tcPr>
            <w:tcW w:type="dxa" w:w="1152"/>
          </w:tcPr>
          <w:p>
            <w:r/>
            <w:r>
              <w:rPr>
                <w:sz w:val="19"/>
              </w:rPr>
              <w:t>A</w:t>
            </w:r>
          </w:p>
        </w:tc>
        <w:tc>
          <w:tcPr>
            <w:tcW w:type="dxa" w:w="2592"/>
          </w:tcPr>
          <w:p>
            <w:r/>
            <w:r>
              <w:rPr>
                <w:sz w:val="19"/>
              </w:rPr>
              <w:t>Alineación</w:t>
            </w:r>
          </w:p>
        </w:tc>
        <w:tc>
          <w:tcPr>
            <w:tcW w:type="dxa" w:w="6048"/>
          </w:tcPr>
          <w:p>
            <w:r/>
            <w:r>
              <w:rPr>
                <w:sz w:val="19"/>
              </w:rPr>
              <w:t>Visión, valores, dirección</w:t>
            </w:r>
          </w:p>
        </w:tc>
      </w:tr>
      <w:tr>
        <w:trPr>
          <w:cantSplit/>
        </w:trPr>
        <w:tc>
          <w:tcPr>
            <w:tcW w:type="dxa" w:w="1152"/>
          </w:tcPr>
          <w:p>
            <w:r/>
            <w:r>
              <w:rPr>
                <w:sz w:val="19"/>
              </w:rPr>
              <w:t>U</w:t>
            </w:r>
          </w:p>
        </w:tc>
        <w:tc>
          <w:tcPr>
            <w:tcW w:type="dxa" w:w="2592"/>
          </w:tcPr>
          <w:p>
            <w:r/>
            <w:r>
              <w:rPr>
                <w:sz w:val="19"/>
              </w:rPr>
              <w:t>Unidad</w:t>
            </w:r>
          </w:p>
        </w:tc>
        <w:tc>
          <w:tcPr>
            <w:tcW w:type="dxa" w:w="6048"/>
          </w:tcPr>
          <w:p>
            <w:r/>
            <w:r>
              <w:rPr>
                <w:sz w:val="19"/>
              </w:rPr>
              <w:t>Relaciones cercanas</w:t>
            </w:r>
          </w:p>
        </w:tc>
      </w:tr>
      <w:tr>
        <w:trPr>
          <w:cantSplit/>
        </w:trPr>
        <w:tc>
          <w:tcPr>
            <w:tcW w:type="dxa" w:w="1152"/>
          </w:tcPr>
          <w:p>
            <w:r/>
            <w:r>
              <w:rPr>
                <w:sz w:val="19"/>
              </w:rPr>
              <w:t>R</w:t>
            </w:r>
          </w:p>
        </w:tc>
        <w:tc>
          <w:tcPr>
            <w:tcW w:type="dxa" w:w="2592"/>
          </w:tcPr>
          <w:p>
            <w:r/>
            <w:r>
              <w:rPr>
                <w:sz w:val="19"/>
              </w:rPr>
              <w:t>Resiliencia</w:t>
            </w:r>
          </w:p>
        </w:tc>
        <w:tc>
          <w:tcPr>
            <w:tcW w:type="dxa" w:w="6048"/>
          </w:tcPr>
          <w:p>
            <w:r/>
            <w:r>
              <w:rPr>
                <w:sz w:val="19"/>
              </w:rPr>
              <w:t>Estado mental y emocional</w:t>
            </w:r>
          </w:p>
        </w:tc>
      </w:tr>
      <w:tr>
        <w:trPr>
          <w:cantSplit/>
        </w:trPr>
        <w:tc>
          <w:tcPr>
            <w:tcW w:type="dxa" w:w="1152"/>
          </w:tcPr>
          <w:p>
            <w:r/>
            <w:r>
              <w:rPr>
                <w:sz w:val="19"/>
              </w:rPr>
              <w:t>A</w:t>
            </w:r>
          </w:p>
        </w:tc>
        <w:tc>
          <w:tcPr>
            <w:tcW w:type="dxa" w:w="2592"/>
          </w:tcPr>
          <w:p>
            <w:r/>
            <w:r>
              <w:rPr>
                <w:sz w:val="19"/>
              </w:rPr>
              <w:t>Autoridad</w:t>
            </w:r>
          </w:p>
        </w:tc>
        <w:tc>
          <w:tcPr>
            <w:tcW w:type="dxa" w:w="6048"/>
          </w:tcPr>
          <w:p>
            <w:r/>
            <w:r>
              <w:rPr>
                <w:sz w:val="19"/>
              </w:rPr>
              <w:t>Imagen, reputación</w:t>
            </w:r>
          </w:p>
        </w:tc>
      </w:tr>
    </w:tbl>
    <w:p>
      <w:pPr>
        <w:spacing w:after="80"/>
      </w:pPr>
    </w:p>
    <w:p>
      <w:r>
        <w:rPr>
          <w:b w:val="0"/>
          <w:i w:val="0"/>
        </w:rPr>
        <w:t>El orden no es alfabético por conveniencia, cuenta el proceso de una restauración real: se examina primero la base (Respaldo), se reúne la energía para actuar (Energía), se encuentra el porqué (Sentido), se convierte ese porqué en un camino concreto (Trayectoria), se verifica que ese camino esté alineado con los valores propios (Alineación), se sostiene con las personas cercanas (Unidad) y con la capacidad interior de resistir (Resiliencia), y al final aparece la autoridad, que es resultado y no punto de partida (Autoridad).</w:t>
      </w:r>
    </w:p>
    <w:p>
      <w:pPr>
        <w:pStyle w:val="ListBullet"/>
      </w:pPr>
      <w:r>
        <w:t>Fe: no es un frente aislado, es transversal a los ocho. No se nombra explícitamente porque el público es secular.</w:t>
      </w:r>
    </w:p>
    <w:p>
      <w:pPr>
        <w:pStyle w:val="ListBullet"/>
      </w:pPr>
      <w:r>
        <w:t>Descanso: no tiene frente propio, vive dentro de Energía.</w:t>
      </w:r>
    </w:p>
    <w:p>
      <w:r>
        <w:rPr>
          <w:b w:val="0"/>
          <w:i w:val="0"/>
        </w:rPr>
        <w:t>Regla de producto: el instrumento evalúa cada frente con tres formatos (escenarios de decisión, diales de frecuencia, pares de elección forzada), pero no da retroalimentación por frente de forma aislada; la interpretación profunda queda reservada para el reporte final y los productos pagos.</w:t>
      </w:r>
    </w:p>
    <w:p>
      <w:pPr>
        <w:spacing w:before="80" w:after="200"/>
        <w:pBdr>
          <w:left w:val="single" w:sz="18" w:space="8" w:color="E07B39"/>
        </w:pBdr>
      </w:pPr>
      <w:r>
        <w:rPr>
          <w:b/>
          <w:color w:val="E07B39"/>
          <w:sz w:val="20"/>
        </w:rPr>
        <w:t xml:space="preserve">PENDIENTE: </w:t>
      </w:r>
      <w:r>
        <w:rPr>
          <w:i/>
          <w:color w:val="555555"/>
          <w:sz w:val="20"/>
        </w:rPr>
        <w:t>Solo se ha diseñado la estación de "El Motor". Faltan las siete estaciones restantes del instrumento completo.</w:t>
      </w:r>
    </w:p>
    <w:p>
      <w:pPr>
        <w:pStyle w:val="Heading1"/>
      </w:pPr>
      <w:r>
        <w:t>9. Oferta comercial: El Taller</w:t>
      </w:r>
    </w:p>
    <w:p>
      <w:pPr>
        <w:spacing w:before="40" w:after="280"/>
        <w:pBdr>
          <w:bottom w:val="single" w:sz="8" w:space="1" w:color="C8922A"/>
        </w:pBdr>
      </w:pPr>
    </w:p>
    <w:p>
      <w:r>
        <w:rPr>
          <w:b w:val="0"/>
          <w:i w:val="0"/>
        </w:rPr>
        <w:t>El Taller es el vehículo de caja inmediato: diagnóstico comercial productizado en tres niveles, vendido en oscargelves.com.</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trPr>
        <w:tc>
          <w:tcPr>
            <w:tcW w:type="dxa" w:w="3024"/>
            <w:shd w:val="clear" w:color="auto" w:fill="142847"/>
          </w:tcPr>
          <w:p>
            <w:r/>
            <w:r>
              <w:rPr>
                <w:b/>
                <w:color w:val="FFFFFF"/>
                <w:sz w:val="20"/>
              </w:rPr>
              <w:t>Nivel</w:t>
            </w:r>
          </w:p>
        </w:tc>
        <w:tc>
          <w:tcPr>
            <w:tcW w:type="dxa" w:w="3888"/>
            <w:shd w:val="clear" w:color="auto" w:fill="142847"/>
          </w:tcPr>
          <w:p>
            <w:r/>
            <w:r>
              <w:rPr>
                <w:b/>
                <w:color w:val="FFFFFF"/>
                <w:sz w:val="20"/>
              </w:rPr>
              <w:t>Qué es</w:t>
            </w:r>
          </w:p>
        </w:tc>
        <w:tc>
          <w:tcPr>
            <w:tcW w:type="dxa" w:w="3024"/>
            <w:shd w:val="clear" w:color="auto" w:fill="142847"/>
          </w:tcPr>
          <w:p>
            <w:r/>
            <w:r>
              <w:rPr>
                <w:b/>
                <w:color w:val="FFFFFF"/>
                <w:sz w:val="20"/>
              </w:rPr>
              <w:t>Cubre del modelo</w:t>
            </w:r>
          </w:p>
        </w:tc>
      </w:tr>
      <w:tr>
        <w:trPr>
          <w:cantSplit/>
        </w:trPr>
        <w:tc>
          <w:tcPr>
            <w:tcW w:type="dxa" w:w="3024"/>
          </w:tcPr>
          <w:p>
            <w:r/>
            <w:r>
              <w:rPr>
                <w:sz w:val="19"/>
              </w:rPr>
              <w:t>Conferencia</w:t>
            </w:r>
          </w:p>
        </w:tc>
        <w:tc>
          <w:tcPr>
            <w:tcW w:type="dxa" w:w="3888"/>
          </w:tcPr>
          <w:p>
            <w:r/>
            <w:r>
              <w:rPr>
                <w:sz w:val="19"/>
              </w:rPr>
              <w:t>Puerta de entrada, aprox. 1.000 USD, charla/taller de un día</w:t>
            </w:r>
          </w:p>
        </w:tc>
        <w:tc>
          <w:tcPr>
            <w:tcW w:type="dxa" w:w="3024"/>
          </w:tcPr>
          <w:p>
            <w:r/>
            <w:r>
              <w:rPr>
                <w:sz w:val="19"/>
              </w:rPr>
              <w:t>Introduce el modelo, siembra el Diagnóstico</w:t>
            </w:r>
          </w:p>
        </w:tc>
      </w:tr>
      <w:tr>
        <w:trPr>
          <w:cantSplit/>
        </w:trPr>
        <w:tc>
          <w:tcPr>
            <w:tcW w:type="dxa" w:w="3024"/>
          </w:tcPr>
          <w:p>
            <w:r/>
            <w:r>
              <w:rPr>
                <w:sz w:val="19"/>
              </w:rPr>
              <w:t>Diagnóstico Comercial</w:t>
            </w:r>
          </w:p>
        </w:tc>
        <w:tc>
          <w:tcPr>
            <w:tcW w:type="dxa" w:w="3888"/>
          </w:tcPr>
          <w:p>
            <w:r/>
            <w:r>
              <w:rPr>
                <w:sz w:val="19"/>
              </w:rPr>
              <w:t>Precio fijo, 2 a 3 semanas</w:t>
            </w:r>
          </w:p>
        </w:tc>
        <w:tc>
          <w:tcPr>
            <w:tcW w:type="dxa" w:w="3024"/>
          </w:tcPr>
          <w:p>
            <w:r/>
            <w:r>
              <w:rPr>
                <w:sz w:val="19"/>
              </w:rPr>
              <w:t>Diagnóstico + Desmontaje</w:t>
            </w:r>
          </w:p>
        </w:tc>
      </w:tr>
      <w:tr>
        <w:trPr>
          <w:cantSplit/>
        </w:trPr>
        <w:tc>
          <w:tcPr>
            <w:tcW w:type="dxa" w:w="3024"/>
          </w:tcPr>
          <w:p>
            <w:r/>
            <w:r>
              <w:rPr>
                <w:sz w:val="19"/>
              </w:rPr>
              <w:t>Programa de Restauración a la Medida</w:t>
            </w:r>
          </w:p>
        </w:tc>
        <w:tc>
          <w:tcPr>
            <w:tcW w:type="dxa" w:w="3888"/>
          </w:tcPr>
          <w:p>
            <w:r/>
            <w:r>
              <w:rPr>
                <w:sz w:val="19"/>
              </w:rPr>
              <w:t>A la medida del cliente</w:t>
            </w:r>
          </w:p>
        </w:tc>
        <w:tc>
          <w:tcPr>
            <w:tcW w:type="dxa" w:w="3024"/>
          </w:tcPr>
          <w:p>
            <w:r/>
            <w:r>
              <w:rPr>
                <w:sz w:val="19"/>
              </w:rPr>
              <w:t>Ensamblaje + Ajuste + Apropiación</w:t>
            </w:r>
          </w:p>
        </w:tc>
      </w:tr>
    </w:tbl>
    <w:p>
      <w:pPr>
        <w:spacing w:after="80"/>
      </w:pPr>
    </w:p>
    <w:p>
      <w:pPr>
        <w:pStyle w:val="Heading2"/>
      </w:pPr>
      <w:r>
        <w:t>9.1 La estructura de tres movimientos</w:t>
      </w:r>
    </w:p>
    <w:p>
      <w:r>
        <w:rPr>
          <w:b w:val="0"/>
          <w:i w:val="0"/>
        </w:rPr>
        <w:t>Resuelve un problema real detectado en un primer borrador de seis pasos secuenciales: terminar un paso en salón, salir, retomar dos o tres semanas después, y volver al salón más adelante rompía la dinámica del grupo. La solución fue dejar de pensar en un único flujo continuo de seis pasos y remapear el proceso sobre los tres niveles comerciales que ya existían.</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trPr>
        <w:tc>
          <w:tcPr>
            <w:tcW w:type="dxa" w:w="2304"/>
            <w:shd w:val="clear" w:color="auto" w:fill="142847"/>
          </w:tcPr>
          <w:p>
            <w:r/>
            <w:r>
              <w:rPr>
                <w:b/>
                <w:color w:val="FFFFFF"/>
                <w:sz w:val="20"/>
              </w:rPr>
              <w:t>Movimiento</w:t>
            </w:r>
          </w:p>
        </w:tc>
        <w:tc>
          <w:tcPr>
            <w:tcW w:type="dxa" w:w="2592"/>
            <w:shd w:val="clear" w:color="auto" w:fill="142847"/>
          </w:tcPr>
          <w:p>
            <w:r/>
            <w:r>
              <w:rPr>
                <w:b/>
                <w:color w:val="FFFFFF"/>
                <w:sz w:val="20"/>
              </w:rPr>
              <w:t>Corresponde a</w:t>
            </w:r>
          </w:p>
        </w:tc>
        <w:tc>
          <w:tcPr>
            <w:tcW w:type="dxa" w:w="4896"/>
            <w:shd w:val="clear" w:color="auto" w:fill="142847"/>
          </w:tcPr>
          <w:p>
            <w:r/>
            <w:r>
              <w:rPr>
                <w:b/>
                <w:color w:val="FFFFFF"/>
                <w:sz w:val="20"/>
              </w:rPr>
              <w:t>Qué pasa</w:t>
            </w:r>
          </w:p>
        </w:tc>
      </w:tr>
      <w:tr>
        <w:trPr>
          <w:cantSplit/>
        </w:trPr>
        <w:tc>
          <w:tcPr>
            <w:tcW w:type="dxa" w:w="2304"/>
          </w:tcPr>
          <w:p>
            <w:r/>
            <w:r>
              <w:rPr>
                <w:sz w:val="19"/>
              </w:rPr>
              <w:t>A — Conferencia</w:t>
            </w:r>
          </w:p>
        </w:tc>
        <w:tc>
          <w:tcPr>
            <w:tcW w:type="dxa" w:w="2592"/>
          </w:tcPr>
          <w:p>
            <w:r/>
            <w:r>
              <w:rPr>
                <w:sz w:val="19"/>
              </w:rPr>
              <w:t>Nivel Conferencia, día único</w:t>
            </w:r>
          </w:p>
        </w:tc>
        <w:tc>
          <w:tcPr>
            <w:tcW w:type="dxa" w:w="4896"/>
          </w:tcPr>
          <w:p>
            <w:r/>
            <w:r>
              <w:rPr>
                <w:sz w:val="19"/>
              </w:rPr>
              <w:t>El instrumento personal RESTAURA como apertura con los asistentes, seguido de una conversación experta ligera que usa esos datos en caliente como espejo inicial (no una segunda encuesta), y el arranque del paso hacia el nivel organizacional. Todo en una sola sesión continua, sin corte.</w:t>
            </w:r>
          </w:p>
        </w:tc>
      </w:tr>
      <w:tr>
        <w:trPr>
          <w:cantSplit/>
        </w:trPr>
        <w:tc>
          <w:tcPr>
            <w:tcW w:type="dxa" w:w="2304"/>
          </w:tcPr>
          <w:p>
            <w:r/>
            <w:r>
              <w:rPr>
                <w:sz w:val="19"/>
              </w:rPr>
              <w:t>B — Diagnóstico Comercial</w:t>
            </w:r>
          </w:p>
        </w:tc>
        <w:tc>
          <w:tcPr>
            <w:tcW w:type="dxa" w:w="2592"/>
          </w:tcPr>
          <w:p>
            <w:r/>
            <w:r>
              <w:rPr>
                <w:sz w:val="19"/>
              </w:rPr>
              <w:t>Nivel Diagnóstico Comercial, 2 a 3 semanas siguientes</w:t>
            </w:r>
          </w:p>
        </w:tc>
        <w:tc>
          <w:tcPr>
            <w:tcW w:type="dxa" w:w="4896"/>
          </w:tcPr>
          <w:p>
            <w:r/>
            <w:r>
              <w:rPr>
                <w:sz w:val="19"/>
              </w:rPr>
              <w:t>Trabajo experto de Oscar en segundo plano: analiza la pista estructural y los ocho frentes organizacionales con los datos ya recogidos en el Movimiento A. No requiere reconvocar al grupo completo.</w:t>
            </w:r>
          </w:p>
        </w:tc>
      </w:tr>
      <w:tr>
        <w:trPr>
          <w:cantSplit/>
        </w:trPr>
        <w:tc>
          <w:tcPr>
            <w:tcW w:type="dxa" w:w="2304"/>
          </w:tcPr>
          <w:p>
            <w:r/>
            <w:r>
              <w:rPr>
                <w:sz w:val="19"/>
              </w:rPr>
              <w:t>C — Programa a la Medida</w:t>
            </w:r>
          </w:p>
        </w:tc>
        <w:tc>
          <w:tcPr>
            <w:tcW w:type="dxa" w:w="2592"/>
          </w:tcPr>
          <w:p>
            <w:r/>
            <w:r>
              <w:rPr>
                <w:sz w:val="19"/>
              </w:rPr>
              <w:t>Nivel Programa a la Medida</w:t>
            </w:r>
          </w:p>
        </w:tc>
        <w:tc>
          <w:tcPr>
            <w:tcW w:type="dxa" w:w="4896"/>
          </w:tcPr>
          <w:p>
            <w:r/>
            <w:r>
              <w:rPr>
                <w:sz w:val="19"/>
              </w:rPr>
              <w:t>Ensamblaje, Ajuste y Apropiación, con su propio arranque fresco, ya como programa formal contratado aparte.</w:t>
            </w:r>
          </w:p>
        </w:tc>
      </w:tr>
    </w:tbl>
    <w:p>
      <w:pPr>
        <w:spacing w:after="80"/>
      </w:pPr>
    </w:p>
    <w:p>
      <w:pPr>
        <w:spacing w:before="80" w:after="200"/>
        <w:pBdr>
          <w:left w:val="single" w:sz="18" w:space="8" w:color="E07B39"/>
        </w:pBdr>
      </w:pPr>
      <w:r>
        <w:rPr>
          <w:b/>
          <w:color w:val="E07B39"/>
          <w:sz w:val="20"/>
        </w:rPr>
        <w:t xml:space="preserve">NO FORMALIZADO HASTA AHORA: </w:t>
      </w:r>
      <w:r>
        <w:rPr>
          <w:i/>
          <w:color w:val="555555"/>
          <w:sz w:val="20"/>
        </w:rPr>
        <w:t>Esta estructura de tres movimientos resuelve el corte identificado en conversación y quedó como la versión de trabajo vigente, pero no se había formalizado en ningún documento hasta este. Vale la pena una confirmación explícita antes de tratarla como definitiva, o desarrollarla como playbook operativo aparte.</w:t>
      </w:r>
    </w:p>
    <w:p>
      <w:pPr>
        <w:pStyle w:val="Heading2"/>
      </w:pPr>
      <w:r>
        <w:t>9.2 Regla de diseño importante</w:t>
      </w:r>
    </w:p>
    <w:p>
      <w:r>
        <w:rPr>
          <w:b w:val="0"/>
          <w:i w:val="0"/>
        </w:rPr>
        <w:t>El instrumento personal RESTAURA (Movimiento A, sección 8) se usa como espejo inicial con datos en caliente, no como encuesta forzada ni como excusa para acumular formularios. La meta es una conversación distinta con cada empresa a partir de esos datos, sentando las bases de una construcción colectiva consciente, no llenar cuestionarios.</w:t>
      </w:r>
    </w:p>
    <w:p>
      <w:pPr>
        <w:pStyle w:val="Heading1"/>
      </w:pPr>
      <w:r>
        <w:t>10. Posicionamiento comercial</w:t>
      </w:r>
    </w:p>
    <w:p>
      <w:pPr>
        <w:spacing w:before="40" w:after="280"/>
        <w:pBdr>
          <w:bottom w:val="single" w:sz="8" w:space="1" w:color="C8922A"/>
        </w:pBdr>
      </w:pPr>
    </w:p>
    <w:p>
      <w:pPr>
        <w:pStyle w:val="Heading2"/>
      </w:pPr>
      <w:r>
        <w:t>10.1 El mapa propio de seis niveles, y dónde apalanca Restaura.do</w:t>
      </w:r>
    </w:p>
    <w:p>
      <w:r>
        <w:rPr>
          <w:b w:val="0"/>
          <w:i w:val="0"/>
        </w:rPr>
        <w:t>Mapa de referencia interno (Estrategia Comercial, Sistema Comercial, Personas, Tecnología, Revenue Operations, Cultura Comercial), rescatable como orientación, no como alcance de oferta: intentar entregar los seis niveles diluiría la diferenciación ya construida frente a casas de estrategia y consultoras de tecnología.</w:t>
      </w:r>
    </w:p>
    <w:tbl>
      <w:tblPr>
        <w:tblStyle w:val="TableGrid"/>
        <w:tblW w:type="auto" w:w="0"/>
        <w:jc w:val="center"/>
        <w:tblLayout w:type="autofit"/>
        <w:tblLook w:firstColumn="1" w:firstRow="1" w:lastColumn="0" w:lastRow="0" w:noHBand="0" w:noVBand="1" w:val="04A0"/>
      </w:tblPr>
      <w:tblGrid>
        <w:gridCol w:w="4759"/>
        <w:gridCol w:w="4759"/>
      </w:tblGrid>
      <w:tr>
        <w:trPr>
          <w:cantSplit/>
        </w:trPr>
        <w:tc>
          <w:tcPr>
            <w:tcW w:type="dxa" w:w="3600"/>
            <w:shd w:val="clear" w:color="auto" w:fill="142847"/>
          </w:tcPr>
          <w:p>
            <w:r/>
            <w:r>
              <w:rPr>
                <w:b/>
                <w:color w:val="FFFFFF"/>
                <w:sz w:val="20"/>
              </w:rPr>
              <w:t>Nivel</w:t>
            </w:r>
          </w:p>
        </w:tc>
        <w:tc>
          <w:tcPr>
            <w:tcW w:type="dxa" w:w="6048"/>
            <w:shd w:val="clear" w:color="auto" w:fill="142847"/>
          </w:tcPr>
          <w:p>
            <w:r/>
            <w:r>
              <w:rPr>
                <w:b/>
                <w:color w:val="FFFFFF"/>
                <w:sz w:val="20"/>
              </w:rPr>
              <w:t>Relación con Restaura.do</w:t>
            </w:r>
          </w:p>
        </w:tc>
      </w:tr>
      <w:tr>
        <w:trPr>
          <w:cantSplit/>
        </w:trPr>
        <w:tc>
          <w:tcPr>
            <w:tcW w:type="dxa" w:w="3600"/>
          </w:tcPr>
          <w:p>
            <w:r/>
            <w:r>
              <w:rPr>
                <w:sz w:val="19"/>
              </w:rPr>
              <w:t>1. Estrategia Comercial</w:t>
            </w:r>
          </w:p>
        </w:tc>
        <w:tc>
          <w:tcPr>
            <w:tcW w:type="dxa" w:w="6048"/>
          </w:tcPr>
          <w:p>
            <w:r/>
            <w:r>
              <w:rPr>
                <w:sz w:val="19"/>
              </w:rPr>
              <w:t>Fuera de alcance (territorio de casas de estrategia)</w:t>
            </w:r>
          </w:p>
        </w:tc>
      </w:tr>
      <w:tr>
        <w:trPr>
          <w:cantSplit/>
        </w:trPr>
        <w:tc>
          <w:tcPr>
            <w:tcW w:type="dxa" w:w="3600"/>
          </w:tcPr>
          <w:p>
            <w:r/>
            <w:r>
              <w:rPr>
                <w:sz w:val="19"/>
              </w:rPr>
              <w:t>2. Sistema Comercial</w:t>
            </w:r>
          </w:p>
        </w:tc>
        <w:tc>
          <w:tcPr>
            <w:tcW w:type="dxa" w:w="6048"/>
          </w:tcPr>
          <w:p>
            <w:r/>
            <w:r>
              <w:rPr>
                <w:sz w:val="19"/>
              </w:rPr>
              <w:t>Fuera de alcance (aquí viven Challenger, SPIN, MEDDICC y similares)</w:t>
            </w:r>
          </w:p>
        </w:tc>
      </w:tr>
      <w:tr>
        <w:trPr>
          <w:cantSplit/>
        </w:trPr>
        <w:tc>
          <w:tcPr>
            <w:tcW w:type="dxa" w:w="3600"/>
          </w:tcPr>
          <w:p>
            <w:r/>
            <w:r>
              <w:rPr>
                <w:sz w:val="19"/>
              </w:rPr>
              <w:t>3. Personas</w:t>
            </w:r>
          </w:p>
        </w:tc>
        <w:tc>
          <w:tcPr>
            <w:tcW w:type="dxa" w:w="6048"/>
          </w:tcPr>
          <w:p>
            <w:r/>
            <w:r>
              <w:rPr>
                <w:sz w:val="19"/>
              </w:rPr>
              <w:t>Zona principal — apalancador, en su capa psicológica y en su capa de proceso</w:t>
            </w:r>
          </w:p>
        </w:tc>
      </w:tr>
      <w:tr>
        <w:trPr>
          <w:cantSplit/>
        </w:trPr>
        <w:tc>
          <w:tcPr>
            <w:tcW w:type="dxa" w:w="3600"/>
          </w:tcPr>
          <w:p>
            <w:r/>
            <w:r>
              <w:rPr>
                <w:sz w:val="19"/>
              </w:rPr>
              <w:t>4. Tecnología</w:t>
            </w:r>
          </w:p>
        </w:tc>
        <w:tc>
          <w:tcPr>
            <w:tcW w:type="dxa" w:w="6048"/>
          </w:tcPr>
          <w:p>
            <w:r/>
            <w:r>
              <w:rPr>
                <w:sz w:val="19"/>
              </w:rPr>
              <w:t>Apoyo — Bindpoint</w:t>
            </w:r>
          </w:p>
        </w:tc>
      </w:tr>
      <w:tr>
        <w:trPr>
          <w:cantSplit/>
        </w:trPr>
        <w:tc>
          <w:tcPr>
            <w:tcW w:type="dxa" w:w="3600"/>
          </w:tcPr>
          <w:p>
            <w:r/>
            <w:r>
              <w:rPr>
                <w:sz w:val="19"/>
              </w:rPr>
              <w:t>5. Revenue Operations</w:t>
            </w:r>
          </w:p>
        </w:tc>
        <w:tc>
          <w:tcPr>
            <w:tcW w:type="dxa" w:w="6048"/>
          </w:tcPr>
          <w:p>
            <w:r/>
            <w:r>
              <w:rPr>
                <w:sz w:val="19"/>
              </w:rPr>
              <w:t>Apoyo — vía el frente de Relaciones (salud de los relevos entre áreas)</w:t>
            </w:r>
          </w:p>
        </w:tc>
      </w:tr>
      <w:tr>
        <w:trPr>
          <w:cantSplit/>
        </w:trPr>
        <w:tc>
          <w:tcPr>
            <w:tcW w:type="dxa" w:w="3600"/>
          </w:tcPr>
          <w:p>
            <w:r/>
            <w:r>
              <w:rPr>
                <w:sz w:val="19"/>
              </w:rPr>
              <w:t>6. Cultura Comercial</w:t>
            </w:r>
          </w:p>
        </w:tc>
        <w:tc>
          <w:tcPr>
            <w:tcW w:type="dxa" w:w="6048"/>
          </w:tcPr>
          <w:p>
            <w:r/>
            <w:r>
              <w:rPr>
                <w:sz w:val="19"/>
              </w:rPr>
              <w:t>Apoyo — Apropiación (Aliado + Promotor + seguimiento a Formación y Actualización)</w:t>
            </w:r>
          </w:p>
        </w:tc>
      </w:tr>
    </w:tbl>
    <w:p>
      <w:pPr>
        <w:spacing w:after="80"/>
      </w:pPr>
    </w:p>
    <w:p>
      <w:r>
        <w:rPr>
          <w:b w:val="0"/>
          <w:i w:val="0"/>
        </w:rPr>
        <w:t>Los niveles 1, 2, 4 y 5 son inversión de la empresa, propia o con otro consultor. Esa inversión rinde en la medida en que el nivel 3 esté restaurado. Restaura.do no compite por ese presupuesto, lo protege: restaura la condición que determina si el dinero ya invertido, o por invertir, se queda en un PDF o se convierte en resultado sostenido.</w:t>
      </w:r>
    </w:p>
    <w:p>
      <w:r>
        <w:rPr>
          <w:b w:val="0"/>
          <w:i w:val="0"/>
        </w:rPr>
        <w:t>Compensación e incentivos no es una adición nueva del modelo, ya vivía en la pista estructural; lo nuevo es notar que el propio mapa de seis niveles no la nombra en ningún nivel, un vacío del mapa, no del modelo de Restaura.do.</w:t>
      </w:r>
    </w:p>
    <w:p>
      <w:pPr>
        <w:pStyle w:val="Heading2"/>
      </w:pPr>
      <w:r>
        <w:t>10.2 Por qué no compite con las ocho metodologías de venta establecidas</w:t>
      </w:r>
    </w:p>
    <w:p>
      <w:r>
        <w:rPr>
          <w:b w:val="0"/>
          <w:i w:val="0"/>
        </w:rPr>
        <w:t>La evidencia está en la propia columna de debilidades de esas ocho metodologías, leída con atención: ninguna debilidad declarada es un defecto de la metodología en sí misma.</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trPr>
        <w:tc>
          <w:tcPr>
            <w:tcW w:type="dxa" w:w="2736"/>
            <w:shd w:val="clear" w:color="auto" w:fill="142847"/>
          </w:tcPr>
          <w:p>
            <w:r/>
            <w:r>
              <w:rPr>
                <w:b/>
                <w:color w:val="FFFFFF"/>
                <w:sz w:val="20"/>
              </w:rPr>
              <w:t>Metodología</w:t>
            </w:r>
          </w:p>
        </w:tc>
        <w:tc>
          <w:tcPr>
            <w:tcW w:type="dxa" w:w="3168"/>
            <w:shd w:val="clear" w:color="auto" w:fill="142847"/>
          </w:tcPr>
          <w:p>
            <w:r/>
            <w:r>
              <w:rPr>
                <w:b/>
                <w:color w:val="FFFFFF"/>
                <w:sz w:val="20"/>
              </w:rPr>
              <w:t>Debilidad declarada</w:t>
            </w:r>
          </w:p>
        </w:tc>
        <w:tc>
          <w:tcPr>
            <w:tcW w:type="dxa" w:w="3744"/>
            <w:shd w:val="clear" w:color="auto" w:fill="142847"/>
          </w:tcPr>
          <w:p>
            <w:r/>
            <w:r>
              <w:rPr>
                <w:b/>
                <w:color w:val="FFFFFF"/>
                <w:sz w:val="20"/>
              </w:rPr>
              <w:t>Es, en realidad, condición de</w:t>
            </w:r>
          </w:p>
        </w:tc>
      </w:tr>
      <w:tr>
        <w:trPr>
          <w:cantSplit/>
        </w:trPr>
        <w:tc>
          <w:tcPr>
            <w:tcW w:type="dxa" w:w="2736"/>
          </w:tcPr>
          <w:p>
            <w:r/>
            <w:r>
              <w:rPr>
                <w:sz w:val="19"/>
              </w:rPr>
              <w:t>Challenger Sale</w:t>
            </w:r>
          </w:p>
        </w:tc>
        <w:tc>
          <w:tcPr>
            <w:tcW w:type="dxa" w:w="3168"/>
          </w:tcPr>
          <w:p>
            <w:r/>
            <w:r>
              <w:rPr>
                <w:sz w:val="19"/>
              </w:rPr>
              <w:t>Requiere vendedores maduros</w:t>
            </w:r>
          </w:p>
        </w:tc>
        <w:tc>
          <w:tcPr>
            <w:tcW w:type="dxa" w:w="3744"/>
          </w:tcPr>
          <w:p>
            <w:r/>
            <w:r>
              <w:rPr>
                <w:sz w:val="19"/>
              </w:rPr>
              <w:t>Carácter, Autoconocimiento</w:t>
            </w:r>
          </w:p>
        </w:tc>
      </w:tr>
      <w:tr>
        <w:trPr>
          <w:cantSplit/>
        </w:trPr>
        <w:tc>
          <w:tcPr>
            <w:tcW w:type="dxa" w:w="2736"/>
          </w:tcPr>
          <w:p>
            <w:r/>
            <w:r>
              <w:rPr>
                <w:sz w:val="19"/>
              </w:rPr>
              <w:t>SPIN Selling</w:t>
            </w:r>
          </w:p>
        </w:tc>
        <w:tc>
          <w:tcPr>
            <w:tcW w:type="dxa" w:w="3168"/>
          </w:tcPr>
          <w:p>
            <w:r/>
            <w:r>
              <w:rPr>
                <w:sz w:val="19"/>
              </w:rPr>
              <w:t>Débil en negociación</w:t>
            </w:r>
          </w:p>
        </w:tc>
        <w:tc>
          <w:tcPr>
            <w:tcW w:type="dxa" w:w="3744"/>
          </w:tcPr>
          <w:p>
            <w:r/>
            <w:r>
              <w:rPr>
                <w:sz w:val="19"/>
              </w:rPr>
              <w:t>Carácter</w:t>
            </w:r>
          </w:p>
        </w:tc>
      </w:tr>
      <w:tr>
        <w:trPr>
          <w:cantSplit/>
        </w:trPr>
        <w:tc>
          <w:tcPr>
            <w:tcW w:type="dxa" w:w="2736"/>
          </w:tcPr>
          <w:p>
            <w:r/>
            <w:r>
              <w:rPr>
                <w:sz w:val="19"/>
              </w:rPr>
              <w:t>MEDDICC</w:t>
            </w:r>
          </w:p>
        </w:tc>
        <w:tc>
          <w:tcPr>
            <w:tcW w:type="dxa" w:w="3168"/>
          </w:tcPr>
          <w:p>
            <w:r/>
            <w:r>
              <w:rPr>
                <w:sz w:val="19"/>
              </w:rPr>
              <w:t>Puede ser pesado para pyme</w:t>
            </w:r>
          </w:p>
        </w:tc>
        <w:tc>
          <w:tcPr>
            <w:tcW w:type="dxa" w:w="3744"/>
          </w:tcPr>
          <w:p>
            <w:r/>
            <w:r>
              <w:rPr>
                <w:sz w:val="19"/>
              </w:rPr>
              <w:t>Procesos, Sistemas</w:t>
            </w:r>
          </w:p>
        </w:tc>
      </w:tr>
      <w:tr>
        <w:trPr>
          <w:cantSplit/>
        </w:trPr>
        <w:tc>
          <w:tcPr>
            <w:tcW w:type="dxa" w:w="2736"/>
          </w:tcPr>
          <w:p>
            <w:r/>
            <w:r>
              <w:rPr>
                <w:sz w:val="19"/>
              </w:rPr>
              <w:t>Miller Heiman Strategic Selling</w:t>
            </w:r>
          </w:p>
        </w:tc>
        <w:tc>
          <w:tcPr>
            <w:tcW w:type="dxa" w:w="3168"/>
          </w:tcPr>
          <w:p>
            <w:r/>
            <w:r>
              <w:rPr>
                <w:sz w:val="19"/>
              </w:rPr>
              <w:t>Implementación larga</w:t>
            </w:r>
          </w:p>
        </w:tc>
        <w:tc>
          <w:tcPr>
            <w:tcW w:type="dxa" w:w="3744"/>
          </w:tcPr>
          <w:p>
            <w:r/>
            <w:r>
              <w:rPr>
                <w:sz w:val="19"/>
              </w:rPr>
              <w:t>Liderazgo, Cultura Comercial</w:t>
            </w:r>
          </w:p>
        </w:tc>
      </w:tr>
      <w:tr>
        <w:trPr>
          <w:cantSplit/>
        </w:trPr>
        <w:tc>
          <w:tcPr>
            <w:tcW w:type="dxa" w:w="2736"/>
          </w:tcPr>
          <w:p>
            <w:r/>
            <w:r>
              <w:rPr>
                <w:sz w:val="19"/>
              </w:rPr>
              <w:t>Value Selling Framework</w:t>
            </w:r>
          </w:p>
        </w:tc>
        <w:tc>
          <w:tcPr>
            <w:tcW w:type="dxa" w:w="3168"/>
          </w:tcPr>
          <w:p>
            <w:r/>
            <w:r>
              <w:rPr>
                <w:sz w:val="19"/>
              </w:rPr>
              <w:t>Necesita casos de éxito sólidos</w:t>
            </w:r>
          </w:p>
        </w:tc>
        <w:tc>
          <w:tcPr>
            <w:tcW w:type="dxa" w:w="3744"/>
          </w:tcPr>
          <w:p>
            <w:r/>
            <w:r>
              <w:rPr>
                <w:sz w:val="19"/>
              </w:rPr>
              <w:t>Trayectoria, Confianza</w:t>
            </w:r>
          </w:p>
        </w:tc>
      </w:tr>
      <w:tr>
        <w:trPr>
          <w:cantSplit/>
        </w:trPr>
        <w:tc>
          <w:tcPr>
            <w:tcW w:type="dxa" w:w="2736"/>
          </w:tcPr>
          <w:p>
            <w:r/>
            <w:r>
              <w:rPr>
                <w:sz w:val="19"/>
              </w:rPr>
              <w:t>Revenue Operations</w:t>
            </w:r>
          </w:p>
        </w:tc>
        <w:tc>
          <w:tcPr>
            <w:tcW w:type="dxa" w:w="3168"/>
          </w:tcPr>
          <w:p>
            <w:r/>
            <w:r>
              <w:rPr>
                <w:sz w:val="19"/>
              </w:rPr>
              <w:t>Requiere buena tecnología</w:t>
            </w:r>
          </w:p>
        </w:tc>
        <w:tc>
          <w:tcPr>
            <w:tcW w:type="dxa" w:w="3744"/>
          </w:tcPr>
          <w:p>
            <w:r/>
            <w:r>
              <w:rPr>
                <w:sz w:val="19"/>
              </w:rPr>
              <w:t>Sistemas y Tecnología</w:t>
            </w:r>
          </w:p>
        </w:tc>
      </w:tr>
      <w:tr>
        <w:trPr>
          <w:cantSplit/>
        </w:trPr>
        <w:tc>
          <w:tcPr>
            <w:tcW w:type="dxa" w:w="2736"/>
          </w:tcPr>
          <w:p>
            <w:r/>
            <w:r>
              <w:rPr>
                <w:sz w:val="19"/>
              </w:rPr>
              <w:t>Customer Journey / CX</w:t>
            </w:r>
          </w:p>
        </w:tc>
        <w:tc>
          <w:tcPr>
            <w:tcW w:type="dxa" w:w="3168"/>
          </w:tcPr>
          <w:p>
            <w:r/>
            <w:r>
              <w:rPr>
                <w:sz w:val="19"/>
              </w:rPr>
              <w:t>No reemplaza metodología comercial</w:t>
            </w:r>
          </w:p>
        </w:tc>
        <w:tc>
          <w:tcPr>
            <w:tcW w:type="dxa" w:w="3744"/>
          </w:tcPr>
          <w:p>
            <w:r/>
            <w:r>
              <w:rPr>
                <w:sz w:val="19"/>
              </w:rPr>
              <w:t>No aplica, es honesto sobre su propio límite</w:t>
            </w:r>
          </w:p>
        </w:tc>
      </w:tr>
      <w:tr>
        <w:trPr>
          <w:cantSplit/>
        </w:trPr>
        <w:tc>
          <w:tcPr>
            <w:tcW w:type="dxa" w:w="2736"/>
          </w:tcPr>
          <w:p>
            <w:r/>
            <w:r>
              <w:rPr>
                <w:sz w:val="19"/>
              </w:rPr>
              <w:t>Lean Sales Transformation</w:t>
            </w:r>
          </w:p>
        </w:tc>
        <w:tc>
          <w:tcPr>
            <w:tcW w:type="dxa" w:w="3168"/>
          </w:tcPr>
          <w:p>
            <w:r/>
            <w:r>
              <w:rPr>
                <w:sz w:val="19"/>
              </w:rPr>
              <w:t>Menos robusto para grandes corporaciones</w:t>
            </w:r>
          </w:p>
        </w:tc>
        <w:tc>
          <w:tcPr>
            <w:tcW w:type="dxa" w:w="3744"/>
          </w:tcPr>
          <w:p>
            <w:r/>
            <w:r>
              <w:rPr>
                <w:sz w:val="19"/>
              </w:rPr>
              <w:t>Procesos, Liderazgo</w:t>
            </w:r>
          </w:p>
        </w:tc>
      </w:tr>
    </w:tbl>
    <w:p>
      <w:pPr>
        <w:spacing w:after="80"/>
      </w:pPr>
    </w:p>
    <w:p>
      <w:r>
        <w:rPr>
          <w:b w:val="0"/>
          <w:i w:val="0"/>
        </w:rPr>
        <w:t>Los ocho modelos más sólidos del mercado fallan, por su propia descripción, exactamente donde mira el Diagnóstico de Restauración. Ese es el argumento: está en los datos que el propio mercado usa para venderse.</w:t>
      </w:r>
    </w:p>
    <w:p>
      <w:pPr>
        <w:pStyle w:val="Heading2"/>
      </w:pPr>
      <w:r>
        <w:t>10.3 Fundamentación con literatura de gestión del cambio</w:t>
      </w:r>
    </w:p>
    <w:tbl>
      <w:tblPr>
        <w:tblStyle w:val="TableGrid"/>
        <w:tblW w:type="auto" w:w="0"/>
        <w:jc w:val="center"/>
        <w:tblLayout w:type="autofit"/>
        <w:tblLook w:firstColumn="1" w:firstRow="1" w:lastColumn="0" w:lastRow="0" w:noHBand="0" w:noVBand="1" w:val="04A0"/>
      </w:tblPr>
      <w:tblGrid>
        <w:gridCol w:w="3173"/>
        <w:gridCol w:w="3173"/>
        <w:gridCol w:w="3173"/>
      </w:tblGrid>
      <w:tr>
        <w:trPr>
          <w:cantSplit/>
        </w:trPr>
        <w:tc>
          <w:tcPr>
            <w:tcW w:type="dxa" w:w="2448"/>
            <w:shd w:val="clear" w:color="auto" w:fill="142847"/>
          </w:tcPr>
          <w:p>
            <w:r/>
            <w:r>
              <w:rPr>
                <w:b/>
                <w:color w:val="FFFFFF"/>
                <w:sz w:val="20"/>
              </w:rPr>
              <w:t>Modelo de referencia</w:t>
            </w:r>
          </w:p>
        </w:tc>
        <w:tc>
          <w:tcPr>
            <w:tcW w:type="dxa" w:w="3600"/>
            <w:shd w:val="clear" w:color="auto" w:fill="142847"/>
          </w:tcPr>
          <w:p>
            <w:r/>
            <w:r>
              <w:rPr>
                <w:b/>
                <w:color w:val="FFFFFF"/>
                <w:sz w:val="20"/>
              </w:rPr>
              <w:t>Idea central</w:t>
            </w:r>
          </w:p>
        </w:tc>
        <w:tc>
          <w:tcPr>
            <w:tcW w:type="dxa" w:w="4176"/>
            <w:shd w:val="clear" w:color="auto" w:fill="142847"/>
          </w:tcPr>
          <w:p>
            <w:r/>
            <w:r>
              <w:rPr>
                <w:b/>
                <w:color w:val="FFFFFF"/>
                <w:sz w:val="20"/>
              </w:rPr>
              <w:t>Qué agrega Restaura.do</w:t>
            </w:r>
          </w:p>
        </w:tc>
      </w:tr>
      <w:tr>
        <w:trPr>
          <w:cantSplit/>
        </w:trPr>
        <w:tc>
          <w:tcPr>
            <w:tcW w:type="dxa" w:w="2448"/>
          </w:tcPr>
          <w:p>
            <w:r/>
            <w:r>
              <w:rPr>
                <w:sz w:val="19"/>
              </w:rPr>
              <w:t>Lewin (Descongelar–Cambiar–Recongelar)</w:t>
            </w:r>
          </w:p>
        </w:tc>
        <w:tc>
          <w:tcPr>
            <w:tcW w:type="dxa" w:w="3600"/>
          </w:tcPr>
          <w:p>
            <w:r/>
            <w:r>
              <w:rPr>
                <w:sz w:val="19"/>
              </w:rPr>
              <w:t>El cambio sostenible requiere romper, mover y fijar el nuevo estado.</w:t>
            </w:r>
          </w:p>
        </w:tc>
        <w:tc>
          <w:tcPr>
            <w:tcW w:type="dxa" w:w="4176"/>
          </w:tcPr>
          <w:p>
            <w:r/>
            <w:r>
              <w:rPr>
                <w:sz w:val="19"/>
              </w:rPr>
              <w:t>Un mecanismo de recongelamiento explícito y accionable (Bitácora + revisión entre pares), donde Lewin deja el concepto sin mecánica operativa.</w:t>
            </w:r>
          </w:p>
        </w:tc>
      </w:tr>
      <w:tr>
        <w:trPr>
          <w:cantSplit/>
        </w:trPr>
        <w:tc>
          <w:tcPr>
            <w:tcW w:type="dxa" w:w="2448"/>
          </w:tcPr>
          <w:p>
            <w:r/>
            <w:r>
              <w:rPr>
                <w:sz w:val="19"/>
              </w:rPr>
              <w:t>ADKAR</w:t>
            </w:r>
          </w:p>
        </w:tc>
        <w:tc>
          <w:tcPr>
            <w:tcW w:type="dxa" w:w="3600"/>
          </w:tcPr>
          <w:p>
            <w:r/>
            <w:r>
              <w:rPr>
                <w:sz w:val="19"/>
              </w:rPr>
              <w:t>El cambio individual pasa por cinco bloques secuenciales; el más descuidado es Reinforcement.</w:t>
            </w:r>
          </w:p>
        </w:tc>
        <w:tc>
          <w:tcPr>
            <w:tcW w:type="dxa" w:w="4176"/>
          </w:tcPr>
          <w:p>
            <w:r/>
            <w:r>
              <w:rPr>
                <w:sz w:val="19"/>
              </w:rPr>
              <w:t>Un mecanismo de Reinforcement diseñado para funcionar sin la infraestructura de un sponsor institucional: lo resuelve con un aliado entre pares.</w:t>
            </w:r>
          </w:p>
        </w:tc>
      </w:tr>
      <w:tr>
        <w:trPr>
          <w:cantSplit/>
        </w:trPr>
        <w:tc>
          <w:tcPr>
            <w:tcW w:type="dxa" w:w="2448"/>
          </w:tcPr>
          <w:p>
            <w:r/>
            <w:r>
              <w:rPr>
                <w:sz w:val="19"/>
              </w:rPr>
              <w:t>EOS / Traction</w:t>
            </w:r>
          </w:p>
        </w:tc>
        <w:tc>
          <w:tcPr>
            <w:tcW w:type="dxa" w:w="3600"/>
          </w:tcPr>
          <w:p>
            <w:r/>
            <w:r>
              <w:rPr>
                <w:sz w:val="19"/>
              </w:rPr>
              <w:t>Sistema operativo con ritmo trimestral para ejecutar con disciplina.</w:t>
            </w:r>
          </w:p>
        </w:tc>
        <w:tc>
          <w:tcPr>
            <w:tcW w:type="dxa" w:w="4176"/>
          </w:tcPr>
          <w:p>
            <w:r/>
            <w:r>
              <w:rPr>
                <w:sz w:val="19"/>
              </w:rPr>
              <w:t>Trabaja explícitamente la capa personal (Carácter, Propósito, Motivación) y puede activarse desde un solo individuo, sin exigir al equipo directivo completo.</w:t>
            </w:r>
          </w:p>
        </w:tc>
      </w:tr>
    </w:tbl>
    <w:p>
      <w:pPr>
        <w:spacing w:after="80"/>
      </w:pPr>
    </w:p>
    <w:p>
      <w:pPr>
        <w:pStyle w:val="Heading2"/>
      </w:pPr>
      <w:r>
        <w:t>10.4 Frases de venta</w:t>
      </w:r>
    </w:p>
    <w:p>
      <w:pPr>
        <w:pStyle w:val="ListBullet"/>
      </w:pPr>
      <w:r>
        <w:t>Con un prospecto que todavía no eligió metodología: "sigue con la que elijas, Challenger, SPIN, lo que sea. Antes de invertir ahí, aseguremos que el terreno aguante."</w:t>
      </w:r>
    </w:p>
    <w:p>
      <w:pPr>
        <w:pStyle w:val="ListBullet"/>
      </w:pPr>
      <w:r>
        <w:t>Con un prospecto que ya invirtió y no le funcionó: "ya hiciste de todo, talleres, charlas, retiros, y seguiste igual. Aquí está por qué no pegó, y no fue el método."</w:t>
      </w:r>
    </w:p>
    <w:p>
      <w:pPr>
        <w:pStyle w:val="ListBullet"/>
      </w:pPr>
      <w:r>
        <w:t>Con un prospecto escéptico de la tecnología: "no vengo a venderte otro CRM. Bindpoint existe porque yo mismo viví que el CRM no alcanza, y lo construí para resolver justo eso, cuando aplica."</w:t>
      </w:r>
    </w:p>
    <w:p>
      <w:pPr>
        <w:pStyle w:val="ListBullet"/>
      </w:pPr>
      <w:r>
        <w:t>Con un prospecto centrado en cultura o retención de talento: "no depender del vendedor estrella no se logra con un scorecard nuevo. Se logra restaurando a las personas y sosteniendo el cambio con Apropiación."</w:t>
      </w:r>
    </w:p>
    <w:p>
      <w:pPr>
        <w:pStyle w:val="Heading1"/>
      </w:pPr>
      <w:r>
        <w:t>11. Identidad de marca</w:t>
      </w:r>
    </w:p>
    <w:p>
      <w:pPr>
        <w:spacing w:before="40" w:after="280"/>
        <w:pBdr>
          <w:bottom w:val="single" w:sz="8" w:space="1" w:color="C8922A"/>
        </w:pBdr>
      </w:pPr>
    </w:p>
    <w:p>
      <w:r>
        <w:rPr>
          <w:b w:val="0"/>
          <w:i w:val="0"/>
        </w:rPr>
        <w:t>Dos negocios, dos marcas, misma columna vertebral visual. El Taller vive en oscargelves.com; Restaura.do es el producto, con dominio propio en desarrollo.</w:t>
      </w:r>
    </w:p>
    <w:p>
      <w:pPr>
        <w:pStyle w:val="Heading2"/>
      </w:pPr>
      <w:r>
        <w:t>11.1 Paleta y tipografía</w:t>
      </w:r>
    </w:p>
    <w:tbl>
      <w:tblPr>
        <w:tblStyle w:val="TableGrid"/>
        <w:tblW w:type="auto" w:w="0"/>
        <w:jc w:val="center"/>
        <w:tblLayout w:type="autofit"/>
        <w:tblLook w:firstColumn="1" w:firstRow="1" w:lastColumn="0" w:lastRow="0" w:noHBand="0" w:noVBand="1" w:val="04A0"/>
      </w:tblPr>
      <w:tblGrid>
        <w:gridCol w:w="4759"/>
        <w:gridCol w:w="4759"/>
      </w:tblGrid>
      <w:tr>
        <w:trPr>
          <w:cantSplit/>
        </w:trPr>
        <w:tc>
          <w:tcPr>
            <w:tcW w:type="dxa" w:w="4320"/>
            <w:shd w:val="clear" w:color="auto" w:fill="142847"/>
          </w:tcPr>
          <w:p>
            <w:r/>
            <w:r>
              <w:rPr>
                <w:b/>
                <w:color w:val="FFFFFF"/>
                <w:sz w:val="20"/>
              </w:rPr>
              <w:t>Elemento</w:t>
            </w:r>
          </w:p>
        </w:tc>
        <w:tc>
          <w:tcPr>
            <w:tcW w:type="dxa" w:w="5040"/>
            <w:shd w:val="clear" w:color="auto" w:fill="142847"/>
          </w:tcPr>
          <w:p>
            <w:r/>
            <w:r>
              <w:rPr>
                <w:b/>
                <w:color w:val="FFFFFF"/>
                <w:sz w:val="20"/>
              </w:rPr>
              <w:t>Valor</w:t>
            </w:r>
          </w:p>
        </w:tc>
      </w:tr>
      <w:tr>
        <w:trPr>
          <w:cantSplit/>
        </w:trPr>
        <w:tc>
          <w:tcPr>
            <w:tcW w:type="dxa" w:w="4320"/>
          </w:tcPr>
          <w:p>
            <w:r/>
            <w:r>
              <w:rPr>
                <w:sz w:val="19"/>
              </w:rPr>
              <w:t>Navy</w:t>
            </w:r>
          </w:p>
        </w:tc>
        <w:tc>
          <w:tcPr>
            <w:tcW w:type="dxa" w:w="5040"/>
          </w:tcPr>
          <w:p>
            <w:r/>
            <w:r>
              <w:rPr>
                <w:sz w:val="19"/>
              </w:rPr>
              <w:t>#142847 y #0D1F3C</w:t>
            </w:r>
          </w:p>
        </w:tc>
      </w:tr>
      <w:tr>
        <w:trPr>
          <w:cantSplit/>
        </w:trPr>
        <w:tc>
          <w:tcPr>
            <w:tcW w:type="dxa" w:w="4320"/>
          </w:tcPr>
          <w:p>
            <w:r/>
            <w:r>
              <w:rPr>
                <w:sz w:val="19"/>
              </w:rPr>
              <w:t>Gold</w:t>
            </w:r>
          </w:p>
        </w:tc>
        <w:tc>
          <w:tcPr>
            <w:tcW w:type="dxa" w:w="5040"/>
          </w:tcPr>
          <w:p>
            <w:r/>
            <w:r>
              <w:rPr>
                <w:sz w:val="19"/>
              </w:rPr>
              <w:t>#C8922A</w:t>
            </w:r>
          </w:p>
        </w:tc>
      </w:tr>
      <w:tr>
        <w:trPr>
          <w:cantSplit/>
        </w:trPr>
        <w:tc>
          <w:tcPr>
            <w:tcW w:type="dxa" w:w="4320"/>
          </w:tcPr>
          <w:p>
            <w:r/>
            <w:r>
              <w:rPr>
                <w:sz w:val="19"/>
              </w:rPr>
              <w:t>Naranja de acento</w:t>
            </w:r>
          </w:p>
        </w:tc>
        <w:tc>
          <w:tcPr>
            <w:tcW w:type="dxa" w:w="5040"/>
          </w:tcPr>
          <w:p>
            <w:r/>
            <w:r>
              <w:rPr>
                <w:sz w:val="19"/>
              </w:rPr>
              <w:t>#E07B39</w:t>
            </w:r>
          </w:p>
        </w:tc>
      </w:tr>
      <w:tr>
        <w:trPr>
          <w:cantSplit/>
        </w:trPr>
        <w:tc>
          <w:tcPr>
            <w:tcW w:type="dxa" w:w="4320"/>
          </w:tcPr>
          <w:p>
            <w:r/>
            <w:r>
              <w:rPr>
                <w:sz w:val="19"/>
              </w:rPr>
              <w:t>Marfil</w:t>
            </w:r>
          </w:p>
        </w:tc>
        <w:tc>
          <w:tcPr>
            <w:tcW w:type="dxa" w:w="5040"/>
          </w:tcPr>
          <w:p>
            <w:r/>
            <w:r>
              <w:rPr>
                <w:sz w:val="19"/>
              </w:rPr>
              <w:t>#FBF8F2</w:t>
            </w:r>
          </w:p>
        </w:tc>
      </w:tr>
      <w:tr>
        <w:trPr>
          <w:cantSplit/>
        </w:trPr>
        <w:tc>
          <w:tcPr>
            <w:tcW w:type="dxa" w:w="4320"/>
          </w:tcPr>
          <w:p>
            <w:r/>
            <w:r>
              <w:rPr>
                <w:sz w:val="19"/>
              </w:rPr>
              <w:t>Texto secundario</w:t>
            </w:r>
          </w:p>
        </w:tc>
        <w:tc>
          <w:tcPr>
            <w:tcW w:type="dxa" w:w="5040"/>
          </w:tcPr>
          <w:p>
            <w:r/>
            <w:r>
              <w:rPr>
                <w:sz w:val="19"/>
              </w:rPr>
              <w:t>#33445E</w:t>
            </w:r>
          </w:p>
        </w:tc>
      </w:tr>
      <w:tr>
        <w:trPr>
          <w:cantSplit/>
        </w:trPr>
        <w:tc>
          <w:tcPr>
            <w:tcW w:type="dxa" w:w="4320"/>
          </w:tcPr>
          <w:p>
            <w:r/>
            <w:r>
              <w:rPr>
                <w:sz w:val="19"/>
              </w:rPr>
              <w:t>Crema (texto sobre fondo oscuro)</w:t>
            </w:r>
          </w:p>
        </w:tc>
        <w:tc>
          <w:tcPr>
            <w:tcW w:type="dxa" w:w="5040"/>
          </w:tcPr>
          <w:p>
            <w:r/>
            <w:r>
              <w:rPr>
                <w:sz w:val="19"/>
              </w:rPr>
              <w:t>#F4E9D8</w:t>
            </w:r>
          </w:p>
        </w:tc>
      </w:tr>
      <w:tr>
        <w:trPr>
          <w:cantSplit/>
        </w:trPr>
        <w:tc>
          <w:tcPr>
            <w:tcW w:type="dxa" w:w="4320"/>
          </w:tcPr>
          <w:p>
            <w:r/>
            <w:r>
              <w:rPr>
                <w:sz w:val="19"/>
              </w:rPr>
              <w:t>Titulares, cifras, botones, wordmark</w:t>
            </w:r>
          </w:p>
        </w:tc>
        <w:tc>
          <w:tcPr>
            <w:tcW w:type="dxa" w:w="5040"/>
          </w:tcPr>
          <w:p>
            <w:r/>
            <w:r>
              <w:rPr>
                <w:sz w:val="19"/>
              </w:rPr>
              <w:t>Sora 700</w:t>
            </w:r>
          </w:p>
        </w:tc>
      </w:tr>
      <w:tr>
        <w:trPr>
          <w:cantSplit/>
        </w:trPr>
        <w:tc>
          <w:tcPr>
            <w:tcW w:type="dxa" w:w="4320"/>
          </w:tcPr>
          <w:p>
            <w:r/>
            <w:r>
              <w:rPr>
                <w:sz w:val="19"/>
              </w:rPr>
              <w:t>Cuerpo de texto</w:t>
            </w:r>
          </w:p>
        </w:tc>
        <w:tc>
          <w:tcPr>
            <w:tcW w:type="dxa" w:w="5040"/>
          </w:tcPr>
          <w:p>
            <w:r/>
            <w:r>
              <w:rPr>
                <w:sz w:val="19"/>
              </w:rPr>
              <w:t>Inter</w:t>
            </w:r>
          </w:p>
        </w:tc>
      </w:tr>
    </w:tbl>
    <w:p>
      <w:pPr>
        <w:spacing w:after="80"/>
      </w:pPr>
    </w:p>
    <w:p>
      <w:r>
        <w:rPr>
          <w:b w:val="0"/>
          <w:i w:val="0"/>
        </w:rPr>
        <w:t>El wordmark de oscargelves.com es "restaura.do" en minúsculas con el punto, Sora 700, texto real letra por letra con opacidad creciente. El wordmark del producto Restaura.do es "restaurado": lettering ligado a mano con un crescendo de color, de navy a gold a naranja en el "do". Ninguno de los dos se reemplaza por una fuente script, un SVG a mano o una imagen exportada.</w:t>
      </w:r>
    </w:p>
    <w:p>
      <w:pPr>
        <w:pStyle w:val="Heading2"/>
      </w:pPr>
      <w:r>
        <w:t>11.2 Tono visual y voz de marca</w:t>
      </w:r>
    </w:p>
    <w:p>
      <w:r>
        <w:rPr>
          <w:b w:val="0"/>
          <w:i w:val="0"/>
        </w:rPr>
        <w:t>La paleta y la tipografía no cambian, pero el tono visual dejó de perseguir elegancia corporativa (navy/oro minimalista y frío) para moverse hacia taller de restauración: cercano, humano, de detalle, remangado. Cualquier fotografía, ilustración o textura nueva sigue esta dirección: cuero, madera, luz cálida, manos trabajando, detalle artesanal, no fotografía de stock corporativa ni composiciones minimalistas frías.</w:t>
      </w:r>
    </w:p>
    <w:p>
      <w:pPr>
        <w:pStyle w:val="Heading2"/>
      </w:pPr>
      <w:r>
        <w:t>11.3 Postura narrativa: StoryBrand</w:t>
      </w:r>
    </w:p>
    <w:p>
      <w:r>
        <w:rPr>
          <w:b w:val="0"/>
          <w:i w:val="0"/>
        </w:rPr>
        <w:t>Referencia explícita: storybrand.com (Donald Miller, marco SB7). El visitante es el héroe de la historia, Oscar es el guía, nunca al revés. La empresa rota es la protagonista; el Maestro Restaurador es el guía que la devuelve a su diseño original. El sitio no debe hablar de Oscar; debe hacer que el empresario se reconozca en el "equipo motivado pero estructuralmente roto".</w:t>
      </w:r>
    </w:p>
    <w:p>
      <w:pPr>
        <w:pStyle w:val="Heading1"/>
      </w:pPr>
      <w:r>
        <w:t>12. Presencia web actual</w:t>
      </w:r>
    </w:p>
    <w:p>
      <w:pPr>
        <w:spacing w:before="40" w:after="280"/>
        <w:pBdr>
          <w:bottom w:val="single" w:sz="8" w:space="1" w:color="C8922A"/>
        </w:pBdr>
      </w:pPr>
    </w:p>
    <w:p>
      <w:pPr>
        <w:pStyle w:val="Heading2"/>
      </w:pPr>
      <w:r>
        <w:t>12.1 oscargelves.com — El Taller</w:t>
      </w:r>
    </w:p>
    <w:p>
      <w:r>
        <w:rPr>
          <w:b w:val="0"/>
          <w:i w:val="0"/>
        </w:rPr>
        <w:t>Landing de una sola página (single scroll), sin CMS ni base de datos, en seis secciones: Hero, El problema, El modelo en una vista, El Diagnóstico Comercial, Autoridad (Quién soy), CTA final, más footer. CTA principal por link de agenda externo (Calendly u otro), WhatsApp como canal secundario. El precio del Diagnóstico Comercial sigue bajo consulta, pendiente de decisión sobre mostrarlo o no.</w:t>
      </w:r>
    </w:p>
    <w:p>
      <w:pPr>
        <w:pStyle w:val="Heading2"/>
      </w:pPr>
      <w:r>
        <w:t>12.2 restaura.do — el producto</w:t>
      </w:r>
    </w:p>
    <w:p>
      <w:r>
        <w:rPr>
          <w:b w:val="0"/>
          <w:i w:val="0"/>
        </w:rPr>
        <w:t>Dominio propio, todavía en desarrollo. No tiene sitio construido; el instrumento completo de evaluación (los ocho frentes RESTAURA, sección 8) sigue en diseño más allá de la primera estación.</w:t>
      </w:r>
    </w:p>
    <w:p>
      <w:pPr>
        <w:pStyle w:val="Heading1"/>
      </w:pPr>
      <w:r>
        <w:t>13. Propuesta en evaluación: estructura multi-página para restaura.do</w:t>
      </w:r>
    </w:p>
    <w:p>
      <w:pPr>
        <w:spacing w:before="40" w:after="280"/>
        <w:pBdr>
          <w:bottom w:val="single" w:sz="8" w:space="1" w:color="C8922A"/>
        </w:pBdr>
      </w:pPr>
    </w:p>
    <w:p>
      <w:pPr>
        <w:spacing w:before="80" w:after="200"/>
        <w:pBdr>
          <w:left w:val="single" w:sz="18" w:space="8" w:color="E07B39"/>
        </w:pBdr>
      </w:pPr>
      <w:r>
        <w:rPr>
          <w:b/>
          <w:color w:val="E07B39"/>
          <w:sz w:val="20"/>
        </w:rPr>
        <w:t xml:space="preserve">NO DECIDIDO: </w:t>
      </w:r>
      <w:r>
        <w:rPr>
          <w:i/>
          <w:color w:val="555555"/>
          <w:sz w:val="20"/>
        </w:rPr>
        <w:t>Todo el contenido de esta sección es una propuesta explorada en conversación, no una decisión tomada. Se incluye porque es contexto útil, no porque esté cerrada.</w:t>
      </w:r>
    </w:p>
    <w:p>
      <w:r>
        <w:rPr>
          <w:b w:val="0"/>
          <w:i w:val="0"/>
        </w:rPr>
        <w:t>Se exploró una estructura más elaborada que una landing, con navegación multi-página: Inicio, El Instrumento (qué es RESTAURA, los ocho frentes, la regla de no dar feedback aislado), El Diagnóstico (el formulario real), Tu Reporte (qué se recibe), Precios (gratis vs. pago, con upsell hacia El Taller), Sobre (autoridad de Oscar), y Contacto.</w:t>
      </w:r>
    </w:p>
    <w:p>
      <w:r>
        <w:rPr>
          <w:b w:val="0"/>
          <w:i w:val="0"/>
        </w:rPr>
        <w:t>La idea de "soporte técnico" detrás no implica backend propio: el formulario se serviría con una herramienta externa (Typeform o Tally), las respuestas llegarían a Airtable como base de datos ligera con fórmula de puntaje por frente (que además funciona como CRM ligero de leads), Zapier o Make conectarían el disparo del cálculo con la entrega, y el reporte llegaría por correo con una plantilla fija, sin login ni cuenta de usuario.</w:t>
      </w:r>
    </w:p>
    <w:p>
      <w:r>
        <w:rPr>
          <w:b w:val="0"/>
          <w:i w:val="0"/>
        </w:rPr>
        <w:t>Encaja como activo de mediano plazo (60 a 90 días), en paralelo a la activación comercial de El Taller, no antes.</w:t>
      </w:r>
    </w:p>
    <w:p>
      <w:pPr>
        <w:pStyle w:val="Heading1"/>
      </w:pPr>
      <w:r>
        <w:t>14. Alcance y límites</w:t>
      </w:r>
    </w:p>
    <w:p>
      <w:pPr>
        <w:spacing w:before="40" w:after="280"/>
        <w:pBdr>
          <w:bottom w:val="single" w:sz="8" w:space="1" w:color="C8922A"/>
        </w:pBdr>
      </w:pPr>
    </w:p>
    <w:p>
      <w:r>
        <w:rPr>
          <w:b w:val="0"/>
          <w:i w:val="0"/>
        </w:rPr>
        <w:t>Lo que el modelo todavía no ha probado, sin adornos.</w:t>
      </w:r>
    </w:p>
    <w:p>
      <w:pPr>
        <w:pStyle w:val="ListBullet"/>
      </w:pPr>
      <w:r>
        <w:rPr>
          <w:b/>
        </w:rPr>
        <w:t xml:space="preserve">Instrumento pendiente. </w:t>
      </w:r>
      <w:r>
        <w:t>El instrumento completo de 40 preguntas, diferenciado por tipo de sujeto (persona, equipo, organización), está en diseño. Este documento fija la teoría sobre la que se construirá, pero no lo sustituye ni lo documenta todavía.</w:t>
      </w:r>
    </w:p>
    <w:p>
      <w:pPr>
        <w:pStyle w:val="ListBullet"/>
      </w:pPr>
      <w:r>
        <w:rPr>
          <w:b/>
        </w:rPr>
        <w:t xml:space="preserve">Apropiación sin validar en campo. </w:t>
      </w:r>
      <w:r>
        <w:t>El modelo, tal como está diseñado hoy, llega de forma confiable hasta Ajuste en un acompañamiento donde Oscar está presente y facilitando. La institucionalización sin la presencia del facilitador depende enteramente de qué tan bien funcionen Apropiación y sus dos reforzadores en la práctica real, no en el papel.</w:t>
      </w:r>
    </w:p>
    <w:p>
      <w:pPr>
        <w:pStyle w:val="ListBullet"/>
      </w:pPr>
      <w:r>
        <w:rPr>
          <w:b/>
        </w:rPr>
        <w:t xml:space="preserve">Universalidad todavía no probada empíricamente. </w:t>
      </w:r>
      <w:r>
        <w:t>La afirmación de que los ocho frentes aplican "igual" a una persona, un equipo y una organización es todavía una hipótesis de diseño, no un hecho establecido.</w:t>
      </w:r>
    </w:p>
    <w:p>
      <w:pPr>
        <w:pStyle w:val="ListBullet"/>
      </w:pPr>
      <w:r>
        <w:rPr>
          <w:b/>
        </w:rPr>
        <w:t xml:space="preserve">No sustituye intervención clínica. </w:t>
      </w:r>
      <w:r>
        <w:t>Cuando el Diagnóstico revela una situación que excede el alcance comercial o de liderazgo, por ejemplo una señal de salud mental que requiere atención clínica, el modelo no sustituye una intervención licenciada. Falta un protocolo explícito de derivación.</w:t>
      </w:r>
    </w:p>
    <w:p>
      <w:pPr>
        <w:pStyle w:val="ListBullet"/>
      </w:pPr>
      <w:r>
        <w:rPr>
          <w:b/>
        </w:rPr>
        <w:t xml:space="preserve">Lenguaje de cliente aún no validado. </w:t>
      </w:r>
      <w:r>
        <w:t>Las frases de la copy comercial están redactadas desde la experiencia de Oscar, todavía no de lenguaje literal capturado de clientes reales.</w:t>
      </w:r>
    </w:p>
    <w:p>
      <w:pPr>
        <w:pStyle w:val="ListBullet"/>
      </w:pPr>
      <w:r>
        <w:rPr>
          <w:b/>
        </w:rPr>
        <w:t xml:space="preserve">Límite de Compensación e incentivos. </w:t>
      </w:r>
      <w:r>
        <w:t>El acceso a cifras salariales reales del cliente no está garantizado; qué tan a fondo se puede diagnosticar Compensación e incentivos sin verlas sigue abierto.</w:t>
      </w:r>
    </w:p>
    <w:p>
      <w:pPr>
        <w:pStyle w:val="Heading1"/>
      </w:pPr>
      <w:r>
        <w:t>15. Próximos pasos de validación</w:t>
      </w:r>
    </w:p>
    <w:p>
      <w:pPr>
        <w:spacing w:before="40" w:after="280"/>
        <w:pBdr>
          <w:bottom w:val="single" w:sz="8" w:space="1" w:color="C8922A"/>
        </w:pBdr>
      </w:pPr>
    </w:p>
    <w:p>
      <w:r>
        <w:rPr>
          <w:b w:val="0"/>
          <w:i w:val="0"/>
        </w:rPr>
        <w:t>En línea con el principio de no sobre-preparar y vender antes de seguir construyendo sistema, los próximos pasos se apoyan en clientes reales y pagos, no en investigación adicional de escritorio.</w:t>
      </w:r>
    </w:p>
    <w:p>
      <w:pPr>
        <w:pStyle w:val="ListBullet"/>
      </w:pPr>
      <w:r>
        <w:rPr>
          <w:b/>
        </w:rPr>
        <w:t xml:space="preserve">1. Pilotar el Diagnóstico Comercial. </w:t>
      </w:r>
      <w:r>
        <w:t>Con al menos dos o tres clientes pagos, y de ser posible un caso de cada tipo de sujeto, antes de ampliar cualquier afirmación pública sobre universalidad.</w:t>
      </w:r>
    </w:p>
    <w:p>
      <w:pPr>
        <w:pStyle w:val="ListBullet"/>
      </w:pPr>
      <w:r>
        <w:rPr>
          <w:b/>
        </w:rPr>
        <w:t xml:space="preserve">2. Producir el primer dato real de antes/después. </w:t>
      </w:r>
      <w:r>
        <w:t>Registrar el puntaje de los ocho frentes antes del Diagnóstico y de nuevo después de Ajuste, para producir el primer conjunto real de datos de antes y después.</w:t>
      </w:r>
    </w:p>
    <w:p>
      <w:pPr>
        <w:pStyle w:val="ListBullet"/>
      </w:pPr>
      <w:r>
        <w:rPr>
          <w:b/>
        </w:rPr>
        <w:t xml:space="preserve">3. Probar Apropiación en un ciclo completo. </w:t>
      </w:r>
      <w:r>
        <w:t>Con al menos un cliente piloto, completar un ciclo completo de doce semanas de Apropiación para probar si el mecanismo de revisión entre pares sostiene el cambio sin la presencia de Oscar.</w:t>
      </w:r>
    </w:p>
    <w:p>
      <w:pPr>
        <w:pStyle w:val="ListBullet"/>
      </w:pPr>
      <w:r>
        <w:rPr>
          <w:b/>
        </w:rPr>
        <w:t xml:space="preserve">4. Capturar lenguaje real de cliente. </w:t>
      </w:r>
      <w:r>
        <w:t>Durante las conversaciones de diagnóstico, capturar el lenguaje literal de los clientes para reemplazar el lenguaje placeholder actual de la copy comercial.</w:t>
      </w:r>
    </w:p>
    <w:p>
      <w:pPr>
        <w:pStyle w:val="ListBullet"/>
      </w:pPr>
      <w:r>
        <w:rPr>
          <w:b/>
        </w:rPr>
        <w:t xml:space="preserve">5. Diferir el diseño del instrumento de 40 preguntas. </w:t>
      </w:r>
      <w:r>
        <w:t>Diseñar el instrumento completo de 40 preguntas después de entregar el primer Diagnóstico Comercial real, para que se ajuste a un caso concreto.</w:t>
      </w:r>
    </w:p>
    <w:p>
      <w:pPr>
        <w:pStyle w:val="ListBullet"/>
      </w:pPr>
      <w:r>
        <w:rPr>
          <w:b/>
        </w:rPr>
        <w:t xml:space="preserve">6. Confirmar permiso de marca de clientes de referencia. </w:t>
      </w:r>
      <w:r>
        <w:t>Confirmar el permiso de marca de cada empresa mencionada como referencia antes de mostrar cualquier logo.</w:t>
      </w:r>
    </w:p>
    <w:p>
      <w:pPr>
        <w:pStyle w:val="ListBullet"/>
      </w:pPr>
      <w:r>
        <w:rPr>
          <w:b/>
        </w:rPr>
        <w:t xml:space="preserve">7. Certificación Prosci como siguiente paso de fondo. </w:t>
      </w:r>
      <w:r>
        <w:t>Completar la Certificación en Gestión del Cambio de Prosci (ADKAR): legitima el rol de Promotor frente a compradores enterprise y aporta instrumentos reales que hoy el modelo no tiene más allá del razonamiento cualitativo.</w:t>
      </w:r>
    </w:p>
    <w:p>
      <w:pPr>
        <w:pStyle w:val="Heading1"/>
      </w:pPr>
      <w:r>
        <w:t>16. Glosario rápido</w:t>
      </w:r>
    </w:p>
    <w:p>
      <w:pPr>
        <w:spacing w:before="40" w:after="280"/>
        <w:pBdr>
          <w:bottom w:val="single" w:sz="8" w:space="1" w:color="C8922A"/>
        </w:pBdr>
      </w:pPr>
    </w:p>
    <w:tbl>
      <w:tblPr>
        <w:tblStyle w:val="TableGrid"/>
        <w:tblW w:type="auto" w:w="0"/>
        <w:jc w:val="center"/>
        <w:tblLayout w:type="autofit"/>
        <w:tblLook w:firstColumn="1" w:firstRow="1" w:lastColumn="0" w:lastRow="0" w:noHBand="0" w:noVBand="1" w:val="04A0"/>
      </w:tblPr>
      <w:tblGrid>
        <w:gridCol w:w="4759"/>
        <w:gridCol w:w="4759"/>
      </w:tblGrid>
      <w:tr>
        <w:trPr>
          <w:cantSplit/>
        </w:trPr>
        <w:tc>
          <w:tcPr>
            <w:tcW w:type="dxa" w:w="2304"/>
            <w:shd w:val="clear" w:color="auto" w:fill="142847"/>
          </w:tcPr>
          <w:p>
            <w:r/>
            <w:r>
              <w:rPr>
                <w:b/>
                <w:color w:val="FFFFFF"/>
                <w:sz w:val="20"/>
              </w:rPr>
              <w:t>Término</w:t>
            </w:r>
          </w:p>
        </w:tc>
        <w:tc>
          <w:tcPr>
            <w:tcW w:type="dxa" w:w="7344"/>
            <w:shd w:val="clear" w:color="auto" w:fill="142847"/>
          </w:tcPr>
          <w:p>
            <w:r/>
            <w:r>
              <w:rPr>
                <w:b/>
                <w:color w:val="FFFFFF"/>
                <w:sz w:val="20"/>
              </w:rPr>
              <w:t>Qué es</w:t>
            </w:r>
          </w:p>
        </w:tc>
      </w:tr>
      <w:tr>
        <w:trPr>
          <w:cantSplit/>
        </w:trPr>
        <w:tc>
          <w:tcPr>
            <w:tcW w:type="dxa" w:w="2304"/>
          </w:tcPr>
          <w:p>
            <w:r/>
            <w:r>
              <w:rPr>
                <w:sz w:val="19"/>
              </w:rPr>
              <w:t>El Taller</w:t>
            </w:r>
          </w:p>
        </w:tc>
        <w:tc>
          <w:tcPr>
            <w:tcW w:type="dxa" w:w="7344"/>
          </w:tcPr>
          <w:p>
            <w:r/>
            <w:r>
              <w:rPr>
                <w:sz w:val="19"/>
              </w:rPr>
              <w:t>La consultoría comercial productizada, vendida en oscargelves.com. Vehículo de caja inmediato.</w:t>
            </w:r>
          </w:p>
        </w:tc>
      </w:tr>
      <w:tr>
        <w:trPr>
          <w:cantSplit/>
        </w:trPr>
        <w:tc>
          <w:tcPr>
            <w:tcW w:type="dxa" w:w="2304"/>
          </w:tcPr>
          <w:p>
            <w:r/>
            <w:r>
              <w:rPr>
                <w:sz w:val="19"/>
              </w:rPr>
              <w:t>Restaura.do</w:t>
            </w:r>
          </w:p>
        </w:tc>
        <w:tc>
          <w:tcPr>
            <w:tcW w:type="dxa" w:w="7344"/>
          </w:tcPr>
          <w:p>
            <w:r/>
            <w:r>
              <w:rPr>
                <w:sz w:val="19"/>
              </w:rPr>
              <w:t>El instrumento de evaluación de vida y liderazgo, producto de mediano plazo (60 a 90 días a ingreso).</w:t>
            </w:r>
          </w:p>
        </w:tc>
      </w:tr>
      <w:tr>
        <w:trPr>
          <w:cantSplit/>
        </w:trPr>
        <w:tc>
          <w:tcPr>
            <w:tcW w:type="dxa" w:w="2304"/>
          </w:tcPr>
          <w:p>
            <w:r/>
            <w:r>
              <w:rPr>
                <w:sz w:val="19"/>
              </w:rPr>
              <w:t>Maestro Restaurador</w:t>
            </w:r>
          </w:p>
        </w:tc>
        <w:tc>
          <w:tcPr>
            <w:tcW w:type="dxa" w:w="7344"/>
          </w:tcPr>
          <w:p>
            <w:r/>
            <w:r>
              <w:rPr>
                <w:sz w:val="19"/>
              </w:rPr>
              <w:t>La identidad bajo la que opera Oscar Gelves.</w:t>
            </w:r>
          </w:p>
        </w:tc>
      </w:tr>
      <w:tr>
        <w:trPr>
          <w:cantSplit/>
        </w:trPr>
        <w:tc>
          <w:tcPr>
            <w:tcW w:type="dxa" w:w="2304"/>
          </w:tcPr>
          <w:p>
            <w:r/>
            <w:r>
              <w:rPr>
                <w:sz w:val="19"/>
              </w:rPr>
              <w:t>Los ocho frentes</w:t>
            </w:r>
          </w:p>
        </w:tc>
        <w:tc>
          <w:tcPr>
            <w:tcW w:type="dxa" w:w="7344"/>
          </w:tcPr>
          <w:p>
            <w:r/>
            <w:r>
              <w:rPr>
                <w:sz w:val="19"/>
              </w:rPr>
              <w:t>Propósito, Carácter, Motivación, Autoconocimiento, Energía, Relaciones, Imagen, Trayectoria. Marco de equipo/organización.</w:t>
            </w:r>
          </w:p>
        </w:tc>
      </w:tr>
      <w:tr>
        <w:trPr>
          <w:cantSplit/>
        </w:trPr>
        <w:tc>
          <w:tcPr>
            <w:tcW w:type="dxa" w:w="2304"/>
          </w:tcPr>
          <w:p>
            <w:r/>
            <w:r>
              <w:rPr>
                <w:sz w:val="19"/>
              </w:rPr>
              <w:t>RESTAURA</w:t>
            </w:r>
          </w:p>
        </w:tc>
        <w:tc>
          <w:tcPr>
            <w:tcW w:type="dxa" w:w="7344"/>
          </w:tcPr>
          <w:p>
            <w:r/>
            <w:r>
              <w:rPr>
                <w:sz w:val="19"/>
              </w:rPr>
              <w:t>Instrumento personal, acróstico de ocho frentes (Respaldo, Energía, Sentido, Trayectoria, Alineación, Unidad, Resiliencia, Autoridad). No confundir con "los ocho frentes".</w:t>
            </w:r>
          </w:p>
        </w:tc>
      </w:tr>
      <w:tr>
        <w:trPr>
          <w:cantSplit/>
        </w:trPr>
        <w:tc>
          <w:tcPr>
            <w:tcW w:type="dxa" w:w="2304"/>
          </w:tcPr>
          <w:p>
            <w:r/>
            <w:r>
              <w:rPr>
                <w:sz w:val="19"/>
              </w:rPr>
              <w:t>Pista estructural</w:t>
            </w:r>
          </w:p>
        </w:tc>
        <w:tc>
          <w:tcPr>
            <w:tcW w:type="dxa" w:w="7344"/>
          </w:tcPr>
          <w:p>
            <w:r/>
            <w:r>
              <w:rPr>
                <w:sz w:val="19"/>
              </w:rPr>
              <w:t>Cinco condiciones del entorno (Procesos, Sistemas y Tecnología, Compensación e Incentivos, Estilo de Liderazgo, Formación y Actualización), exclusivas de equipo/organización.</w:t>
            </w:r>
          </w:p>
        </w:tc>
      </w:tr>
      <w:tr>
        <w:trPr>
          <w:cantSplit/>
        </w:trPr>
        <w:tc>
          <w:tcPr>
            <w:tcW w:type="dxa" w:w="2304"/>
          </w:tcPr>
          <w:p>
            <w:r/>
            <w:r>
              <w:rPr>
                <w:sz w:val="19"/>
              </w:rPr>
              <w:t>Apropiación</w:t>
            </w:r>
          </w:p>
        </w:tc>
        <w:tc>
          <w:tcPr>
            <w:tcW w:type="dxa" w:w="7344"/>
          </w:tcPr>
          <w:p>
            <w:r/>
            <w:r>
              <w:rPr>
                <w:sz w:val="19"/>
              </w:rPr>
              <w:t>Fase final del modelo: sostenimiento del cambio después de la entrega, vía Aliado y Promotor.</w:t>
            </w:r>
          </w:p>
        </w:tc>
      </w:tr>
      <w:tr>
        <w:trPr>
          <w:cantSplit/>
        </w:trPr>
        <w:tc>
          <w:tcPr>
            <w:tcW w:type="dxa" w:w="2304"/>
          </w:tcPr>
          <w:p>
            <w:r/>
            <w:r>
              <w:rPr>
                <w:sz w:val="19"/>
              </w:rPr>
              <w:t>Aliado</w:t>
            </w:r>
          </w:p>
        </w:tc>
        <w:tc>
          <w:tcPr>
            <w:tcW w:type="dxa" w:w="7344"/>
          </w:tcPr>
          <w:p>
            <w:r/>
            <w:r>
              <w:rPr>
                <w:sz w:val="19"/>
              </w:rPr>
              <w:t>Par elegido por el propio cliente que sostiene la revisión cada tres semanas durante Apropiación.</w:t>
            </w:r>
          </w:p>
        </w:tc>
      </w:tr>
      <w:tr>
        <w:trPr>
          <w:cantSplit/>
        </w:trPr>
        <w:tc>
          <w:tcPr>
            <w:tcW w:type="dxa" w:w="2304"/>
          </w:tcPr>
          <w:p>
            <w:r/>
            <w:r>
              <w:rPr>
                <w:sz w:val="19"/>
              </w:rPr>
              <w:t>Promotor</w:t>
            </w:r>
          </w:p>
        </w:tc>
        <w:tc>
          <w:tcPr>
            <w:tcW w:type="dxa" w:w="7344"/>
          </w:tcPr>
          <w:p>
            <w:r/>
            <w:r>
              <w:rPr>
                <w:sz w:val="19"/>
              </w:rPr>
              <w:t>Líder de la organización, entrenado, que patrocina visiblemente el cambio. Solo aplica a equipo/organización.</w:t>
            </w:r>
          </w:p>
        </w:tc>
      </w:tr>
      <w:tr>
        <w:trPr>
          <w:cantSplit/>
        </w:trPr>
        <w:tc>
          <w:tcPr>
            <w:tcW w:type="dxa" w:w="2304"/>
          </w:tcPr>
          <w:p>
            <w:r/>
            <w:r>
              <w:rPr>
                <w:sz w:val="19"/>
              </w:rPr>
              <w:t>Bindpoint</w:t>
            </w:r>
          </w:p>
        </w:tc>
        <w:tc>
          <w:tcPr>
            <w:tcW w:type="dxa" w:w="7344"/>
          </w:tcPr>
          <w:p>
            <w:r/>
            <w:r>
              <w:rPr>
                <w:sz w:val="19"/>
              </w:rPr>
              <w:t>Capa de proceso tipo SaaS de marca blanca entre compromiso comercial y entrega facturada. Evolución de Nexus.</w:t>
            </w:r>
          </w:p>
        </w:tc>
      </w:tr>
      <w:tr>
        <w:trPr>
          <w:cantSplit/>
        </w:trPr>
        <w:tc>
          <w:tcPr>
            <w:tcW w:type="dxa" w:w="2304"/>
          </w:tcPr>
          <w:p>
            <w:r/>
            <w:r>
              <w:rPr>
                <w:sz w:val="19"/>
              </w:rPr>
              <w:t>Nexus</w:t>
            </w:r>
          </w:p>
        </w:tc>
        <w:tc>
          <w:tcPr>
            <w:tcW w:type="dxa" w:w="7344"/>
          </w:tcPr>
          <w:p>
            <w:r/>
            <w:r>
              <w:rPr>
                <w:sz w:val="19"/>
              </w:rPr>
              <w:t>Primera implementación real de la idea de Bindpoint, desarrollada dentro de OmniStem.</w:t>
            </w:r>
          </w:p>
        </w:tc>
      </w:tr>
      <w:tr>
        <w:trPr>
          <w:cantSplit/>
        </w:trPr>
        <w:tc>
          <w:tcPr>
            <w:tcW w:type="dxa" w:w="2304"/>
          </w:tcPr>
          <w:p>
            <w:r/>
            <w:r>
              <w:rPr>
                <w:sz w:val="19"/>
              </w:rPr>
              <w:t>La Palabra</w:t>
            </w:r>
          </w:p>
        </w:tc>
        <w:tc>
          <w:tcPr>
            <w:tcW w:type="dxa" w:w="7344"/>
          </w:tcPr>
          <w:p>
            <w:r/>
            <w:r>
              <w:rPr>
                <w:sz w:val="19"/>
              </w:rPr>
              <w:t>Capa transversal de fe, con arquitectura de dos registros (personal explícito, empresarial implícito).</w:t>
            </w:r>
          </w:p>
        </w:tc>
      </w:tr>
      <w:tr>
        <w:trPr>
          <w:cantSplit/>
        </w:trPr>
        <w:tc>
          <w:tcPr>
            <w:tcW w:type="dxa" w:w="2304"/>
          </w:tcPr>
          <w:p>
            <w:r/>
            <w:r>
              <w:rPr>
                <w:sz w:val="19"/>
              </w:rPr>
              <w:t>Movimientos A/B/C</w:t>
            </w:r>
          </w:p>
        </w:tc>
        <w:tc>
          <w:tcPr>
            <w:tcW w:type="dxa" w:w="7344"/>
          </w:tcPr>
          <w:p>
            <w:r/>
            <w:r>
              <w:rPr>
                <w:sz w:val="19"/>
              </w:rPr>
              <w:t>Estructura que mapea el proceso de implementación sobre los tres niveles comerciales (Conferencia, Diagnóstico Comercial, Programa a la Medida). No formalizada hasta este documento.</w:t>
            </w:r>
          </w:p>
        </w:tc>
      </w:tr>
    </w:tbl>
    <w:p>
      <w:pPr>
        <w:spacing w:after="80"/>
      </w:pPr>
    </w:p>
    <w:p/>
    <w:p>
      <w:pPr>
        <w:spacing w:before="40" w:after="280"/>
        <w:pBdr>
          <w:bottom w:val="single" w:sz="4" w:space="1" w:color="142847"/>
        </w:pBdr>
      </w:pPr>
    </w:p>
    <w:p>
      <w:pPr>
        <w:jc w:val="center"/>
      </w:pPr>
      <w:r>
        <w:rPr>
          <w:b w:val="0"/>
          <w:i/>
          <w:color w:val="555555"/>
          <w:sz w:val="19"/>
        </w:rPr>
        <w:t>Documento vivo: se actualiza a medida que el modelo se valide en campo con clientes reales.</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42847"/>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42847"/>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1F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