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42847"/>
          <w:sz w:val="68"/>
        </w:rPr>
        <w:t>RESTAURA</w:t>
      </w:r>
      <w:r>
        <w:rPr>
          <w:b/>
          <w:color w:val="C8922A"/>
          <w:sz w:val="68"/>
        </w:rPr>
        <w:t>.do</w:t>
      </w:r>
    </w:p>
    <w:p>
      <w:pPr>
        <w:spacing w:before="120"/>
        <w:jc w:val="center"/>
      </w:pPr>
      <w:r>
        <w:rPr>
          <w:b/>
          <w:color w:val="0D1F3C"/>
          <w:sz w:val="34"/>
        </w:rPr>
        <w:t>Extensión del modelo para equipos y organizaciones</w:t>
      </w:r>
    </w:p>
    <w:p>
      <w:pPr>
        <w:spacing w:before="80"/>
        <w:jc w:val="center"/>
      </w:pPr>
      <w:r>
        <w:rPr>
          <w:i/>
          <w:color w:val="555555"/>
          <w:sz w:val="25"/>
        </w:rPr>
        <w:t>La pista estructural del Diagnóstico y el rol de Promotor en Apropiación</w:t>
      </w:r>
    </w:p>
    <w:p/>
    <w:p/>
    <w:p>
      <w:pPr>
        <w:jc w:val="center"/>
      </w:pPr>
      <w:r>
        <w:rPr>
          <w:b/>
          <w:color w:val="142847"/>
          <w:sz w:val="22"/>
        </w:rPr>
        <w:t>INTEGRADO A LA TEORÍA DEL MODELO (v2)</w:t>
      </w:r>
    </w:p>
    <w:p>
      <w:pPr>
        <w:jc w:val="center"/>
      </w:pPr>
      <w:r>
        <w:rPr>
          <w:i/>
          <w:color w:val="555555"/>
          <w:sz w:val="20"/>
        </w:rPr>
        <w:t>Documento histórico. La propuesta quedó incorporada en Restaura.do — Teoria Completa del Modelo.docx v2 (secciones 5.3 y 7.2), validada además por el Reporte Estratégico de Mercado de julio 2026. Se conserva como registro de la discusión original.</w:t>
      </w:r>
    </w:p>
    <w:p/>
    <w:p/>
    <w:p/>
    <w:p>
      <w:pPr>
        <w:jc w:val="center"/>
      </w:pPr>
      <w:r>
        <w:rPr>
          <w:b/>
          <w:color w:val="142847"/>
          <w:sz w:val="24"/>
        </w:rPr>
        <w:t>Oscar Gelves — Maestro Restaurador</w:t>
      </w:r>
    </w:p>
    <w:p>
      <w:pPr>
        <w:jc w:val="center"/>
      </w:pPr>
      <w:r>
        <w:rPr>
          <w:color w:val="555555"/>
          <w:sz w:val="20"/>
        </w:rPr>
        <w:t>26 de julio de 2026 · Borrador para revisión conjunta</w:t>
      </w:r>
    </w:p>
    <w:p>
      <w:r>
        <w:br w:type="page"/>
      </w:r>
    </w:p>
    <w:p>
      <w:pPr>
        <w:pStyle w:val="Heading1"/>
      </w:pPr>
      <w:r>
        <w:t>1. Contexto y objetivo de este documento</w:t>
      </w:r>
    </w:p>
    <w:p>
      <w:pPr>
        <w:spacing w:before="40" w:after="240"/>
        <w:pBdr>
          <w:bottom w:val="single" w:sz="8" w:space="1" w:color="E07B39"/>
        </w:pBdr>
      </w:pPr>
    </w:p>
    <w:p>
      <w:r>
        <w:rPr>
          <w:b w:val="0"/>
          <w:i w:val="0"/>
        </w:rPr>
        <w:t>Este documento nace de la conversación aplicando el marco de efectividad comercial sobre una pregunta concreta: dónde viven hoy, dentro del modelo, el proceso, los sistemas, el esquema de compensación e incentivos, y el estilo de liderazgo, y si el Diagnóstico los está capturando de forma que lleve a una implementación consciente del cambio, no solo a un diagnóstico de la persona.</w:t>
      </w:r>
    </w:p>
    <w:p>
      <w:r>
        <w:rPr>
          <w:b w:val="0"/>
          <w:i w:val="0"/>
        </w:rPr>
        <w:t>La respuesta encontró un vacío real: proceso, sistemas y tecnología ya tenían casa en el modelo, pero compensación e incentivos y estilo de liderazgo, evaluados como condición del entorno (no solo de la persona que lidera), no estaban nombrados en ningún lado. Este documento propone cerrar ese vacío con dos adiciones concretas: una segunda pista del Diagnóstico, paralela a los ocho frentes, y un nuevo rol de refuerzo en Apropiación, el Promotor, junto al Aliado que ya existe.</w:t>
      </w:r>
    </w:p>
    <w:p>
      <w:r>
        <w:rPr>
          <w:b w:val="0"/>
          <w:i w:val="0"/>
        </w:rPr>
        <w:t>Es un borrador para revisar en conjunto, no una versión final. Si se aprueba, se integra al documento de teoría completa del modelo (secciones 5 y 7) y al brief de la web, como nota de metodología, sin tocar el copy público de la landing.</w:t>
      </w:r>
    </w:p>
    <w:p>
      <w:pPr>
        <w:pStyle w:val="Heading1"/>
      </w:pPr>
      <w:r>
        <w:t>2. Qué ya estaba cubierto y qué no</w:t>
      </w:r>
    </w:p>
    <w:p>
      <w:pPr>
        <w:spacing w:before="40" w:after="240"/>
        <w:pBdr>
          <w:bottom w:val="single" w:sz="8" w:space="1" w:color="E07B39"/>
        </w:pBdr>
      </w:pPr>
    </w:p>
    <w:p>
      <w:pPr>
        <w:pStyle w:val="ListBullet"/>
      </w:pPr>
      <w:r>
        <w:rPr>
          <w:b/>
        </w:rPr>
        <w:t xml:space="preserve">Proceso: </w:t>
      </w:r>
      <w:r>
        <w:t>ya vive dentro de Autoconocimiento cuando el sujeto es un equipo o una organización (higiene de CRM, visibilidad de embudo, precisión de forecast), y se trabaja en concreto durante Desmontaje, Ensamblaje y Ajuste.</w:t>
      </w:r>
    </w:p>
    <w:p>
      <w:pPr>
        <w:pStyle w:val="ListBullet"/>
      </w:pPr>
      <w:r>
        <w:rPr>
          <w:b/>
        </w:rPr>
        <w:t xml:space="preserve">Sistemas y tecnología: </w:t>
      </w:r>
      <w:r>
        <w:t>cubiertos por la capa transversal de Tecnología/IA (Nexus) y también por Autoconocimiento a nivel de equipo.</w:t>
      </w:r>
    </w:p>
    <w:p>
      <w:pPr>
        <w:pStyle w:val="ListBullet"/>
      </w:pPr>
      <w:r>
        <w:rPr>
          <w:b/>
        </w:rPr>
        <w:t xml:space="preserve">Compensación e incentivos: </w:t>
      </w:r>
      <w:r>
        <w:t>no tenía casa explícita. Aparecía, si acaso, de forma implícita dentro de Motivación, pero nunca nombrado como condición estructural que puede estar rota independientemente de qué tan motivada esté cada persona.</w:t>
      </w:r>
    </w:p>
    <w:p>
      <w:pPr>
        <w:pStyle w:val="ListBullet"/>
      </w:pPr>
      <w:r>
        <w:rPr>
          <w:b/>
        </w:rPr>
        <w:t xml:space="preserve">Estilo de liderazgo: </w:t>
      </w:r>
      <w:r>
        <w:t>cubierto solo cuando el líder mismo es el sujeto del Diagnóstico (a través de Carácter y Relaciones), pero no como condición del entorno cuando el sujeto es el equipo completo. Un equipo puede tener sus ocho frentes personales en buen estado y aun así estancarse por un estilo de liderazgo que lo sabotea desde arriba.</w:t>
      </w:r>
    </w:p>
    <w:p>
      <w:pPr>
        <w:pStyle w:val="Heading1"/>
      </w:pPr>
      <w:r>
        <w:t>3. Propuesta: la pista estructural del Diagnóstico</w:t>
      </w:r>
    </w:p>
    <w:p>
      <w:pPr>
        <w:spacing w:before="40" w:after="240"/>
        <w:pBdr>
          <w:bottom w:val="single" w:sz="8" w:space="1" w:color="E07B39"/>
        </w:pBdr>
      </w:pPr>
    </w:p>
    <w:p>
      <w:r>
        <w:rPr>
          <w:b w:val="0"/>
          <w:i w:val="0"/>
        </w:rPr>
        <w:t>Un segundo conjunto de cuatro condiciones que el Diagnóstico evalúa en paralelo a los ocho frentes, exclusivamente cuando el sujeto es un equipo o una organización, no cuando el sujeto es una persona individual.</w:t>
      </w:r>
    </w:p>
    <w:tbl>
      <w:tblPr>
        <w:tblStyle w:val="TableGrid"/>
        <w:tblW w:type="auto" w:w="0"/>
        <w:jc w:val="center"/>
        <w:tblLayout w:type="autofit"/>
        <w:tblLook w:firstColumn="1" w:firstRow="1" w:lastColumn="0" w:lastRow="0" w:noHBand="0" w:noVBand="1" w:val="04A0"/>
      </w:tblPr>
      <w:tblGrid>
        <w:gridCol w:w="3135"/>
        <w:gridCol w:w="3135"/>
        <w:gridCol w:w="3135"/>
      </w:tblGrid>
      <w:tr>
        <w:trPr>
          <w:cantSplit/>
        </w:trPr>
        <w:tc>
          <w:tcPr>
            <w:tcW w:type="dxa" w:w="2016"/>
            <w:shd w:val="clear" w:color="auto" w:fill="E07B39"/>
          </w:tcPr>
          <w:p>
            <w:r/>
            <w:r>
              <w:rPr>
                <w:b/>
                <w:color w:val="FFFFFF"/>
                <w:sz w:val="21"/>
              </w:rPr>
              <w:t>Condición</w:t>
            </w:r>
          </w:p>
        </w:tc>
        <w:tc>
          <w:tcPr>
            <w:tcW w:type="dxa" w:w="3744"/>
            <w:shd w:val="clear" w:color="auto" w:fill="E07B39"/>
          </w:tcPr>
          <w:p>
            <w:r/>
            <w:r>
              <w:rPr>
                <w:b/>
                <w:color w:val="FFFFFF"/>
                <w:sz w:val="21"/>
              </w:rPr>
              <w:t>Qué evalúa</w:t>
            </w:r>
          </w:p>
        </w:tc>
        <w:tc>
          <w:tcPr>
            <w:tcW w:type="dxa" w:w="3744"/>
            <w:shd w:val="clear" w:color="auto" w:fill="E07B39"/>
          </w:tcPr>
          <w:p>
            <w:r/>
            <w:r>
              <w:rPr>
                <w:b/>
                <w:color w:val="FFFFFF"/>
                <w:sz w:val="21"/>
              </w:rPr>
              <w:t>Señal de alerta típica</w:t>
            </w:r>
          </w:p>
        </w:tc>
      </w:tr>
      <w:tr>
        <w:trPr>
          <w:cantSplit/>
        </w:trPr>
        <w:tc>
          <w:tcPr>
            <w:tcW w:type="dxa" w:w="2016"/>
          </w:tcPr>
          <w:p>
            <w:r/>
            <w:r>
              <w:rPr>
                <w:sz w:val="20"/>
              </w:rPr>
              <w:t>Procesos</w:t>
            </w:r>
          </w:p>
        </w:tc>
        <w:tc>
          <w:tcPr>
            <w:tcW w:type="dxa" w:w="3744"/>
          </w:tcPr>
          <w:p>
            <w:r/>
            <w:r>
              <w:rPr>
                <w:sz w:val="20"/>
              </w:rPr>
              <w:t>Si el trabajo depende de la memoria y el heroísmo individual o de un sistema documentado y repetible.</w:t>
            </w:r>
          </w:p>
        </w:tc>
        <w:tc>
          <w:tcPr>
            <w:tcW w:type="dxa" w:w="3744"/>
          </w:tcPr>
          <w:p>
            <w:r/>
            <w:r>
              <w:rPr>
                <w:sz w:val="20"/>
              </w:rPr>
              <w:t>Cada vendedor vende "a su manera", nadie puede reemplazar a nadie sin perder continuidad.</w:t>
            </w:r>
          </w:p>
        </w:tc>
      </w:tr>
      <w:tr>
        <w:trPr>
          <w:cantSplit/>
        </w:trPr>
        <w:tc>
          <w:tcPr>
            <w:tcW w:type="dxa" w:w="2016"/>
          </w:tcPr>
          <w:p>
            <w:r/>
            <w:r>
              <w:rPr>
                <w:sz w:val="20"/>
              </w:rPr>
              <w:t>Sistemas y tecnología</w:t>
            </w:r>
          </w:p>
        </w:tc>
        <w:tc>
          <w:tcPr>
            <w:tcW w:type="dxa" w:w="3744"/>
          </w:tcPr>
          <w:p>
            <w:r/>
            <w:r>
              <w:rPr>
                <w:sz w:val="20"/>
              </w:rPr>
              <w:t>Si las herramientas (CRM y demás) reflejan la realidad del negocio o se llenan por obligación y se ignoran después.</w:t>
            </w:r>
          </w:p>
        </w:tc>
        <w:tc>
          <w:tcPr>
            <w:tcW w:type="dxa" w:w="3744"/>
          </w:tcPr>
          <w:p>
            <w:r/>
            <w:r>
              <w:rPr>
                <w:sz w:val="20"/>
              </w:rPr>
              <w:t>El CRM existe pero nadie confía en sus números para tomar decisiones.</w:t>
            </w:r>
          </w:p>
        </w:tc>
      </w:tr>
      <w:tr>
        <w:trPr>
          <w:cantSplit/>
        </w:trPr>
        <w:tc>
          <w:tcPr>
            <w:tcW w:type="dxa" w:w="2016"/>
          </w:tcPr>
          <w:p>
            <w:r/>
            <w:r>
              <w:rPr>
                <w:sz w:val="20"/>
              </w:rPr>
              <w:t>Compensación e incentivos</w:t>
            </w:r>
          </w:p>
        </w:tc>
        <w:tc>
          <w:tcPr>
            <w:tcW w:type="dxa" w:w="3744"/>
          </w:tcPr>
          <w:p>
            <w:r/>
            <w:r>
              <w:rPr>
                <w:sz w:val="20"/>
              </w:rPr>
              <w:t>Si el esquema de pago premia el comportamiento que la organización dice querer, o premia sin querer lo contrario.</w:t>
            </w:r>
          </w:p>
        </w:tc>
        <w:tc>
          <w:tcPr>
            <w:tcW w:type="dxa" w:w="3744"/>
          </w:tcPr>
          <w:p>
            <w:r/>
            <w:r>
              <w:rPr>
                <w:sz w:val="20"/>
              </w:rPr>
              <w:t>Se pide venta consultiva pero se paga solo por cierre rápido de corto plazo.</w:t>
            </w:r>
          </w:p>
        </w:tc>
      </w:tr>
      <w:tr>
        <w:trPr>
          <w:cantSplit/>
        </w:trPr>
        <w:tc>
          <w:tcPr>
            <w:tcW w:type="dxa" w:w="2016"/>
          </w:tcPr>
          <w:p>
            <w:r/>
            <w:r>
              <w:rPr>
                <w:sz w:val="20"/>
              </w:rPr>
              <w:t>Estilo de liderazgo</w:t>
            </w:r>
          </w:p>
        </w:tc>
        <w:tc>
          <w:tcPr>
            <w:tcW w:type="dxa" w:w="3744"/>
          </w:tcPr>
          <w:p>
            <w:r/>
            <w:r>
              <w:rPr>
                <w:sz w:val="20"/>
              </w:rPr>
              <w:t>Si la forma de liderar del jefe directo refuerza el cambio o lo revierte apenas el consultor sale de la sala.</w:t>
            </w:r>
          </w:p>
        </w:tc>
        <w:tc>
          <w:tcPr>
            <w:tcW w:type="dxa" w:w="3744"/>
          </w:tcPr>
          <w:p>
            <w:r/>
            <w:r>
              <w:rPr>
                <w:sz w:val="20"/>
              </w:rPr>
              <w:t>El equipo mejora durante el programa y vuelve al patrón anterior en semanas.</w:t>
            </w:r>
          </w:p>
        </w:tc>
      </w:tr>
    </w:tbl>
    <w:p>
      <w:r>
        <w:rPr>
          <w:b w:val="0"/>
          <w:i w:val="0"/>
        </w:rPr>
        <w:t>A diferencia de los ocho frentes, esta pista no se puntúa de 1 a 10: son condiciones del entorno, no atributos de una persona o cultura. Se registra como hallazgo cualitativo (funciona, no funciona, o a medias) y alimenta directamente el Desmontaje. Entra al proceso en el mismo punto que los ocho frentes: se levanta en Diagnóstico, se clasifica en Desmontaje igual que cualquier otro hallazgo (Reparación, Recambio, Mejora), y se ejecuta en Ensamblaje y Ajuste junto con el resto.</w:t>
      </w:r>
    </w:p>
    <w:p>
      <w:pPr>
        <w:pStyle w:val="Heading1"/>
      </w:pPr>
      <w:r>
        <w:t>4. Propuesta: el rol de Promotor en Apropiación</w:t>
      </w:r>
    </w:p>
    <w:p>
      <w:pPr>
        <w:spacing w:before="40" w:after="240"/>
        <w:pBdr>
          <w:bottom w:val="single" w:sz="8" w:space="1" w:color="E07B39"/>
        </w:pBdr>
      </w:pPr>
    </w:p>
    <w:p>
      <w:pPr>
        <w:pStyle w:val="Heading2"/>
      </w:pPr>
      <w:r>
        <w:t>4.1 Fundamentación</w:t>
      </w:r>
    </w:p>
    <w:p>
      <w:r>
        <w:rPr>
          <w:b w:val="0"/>
          <w:i w:val="0"/>
        </w:rPr>
        <w:t>La investigación de gestión del cambio (Prosci, el marco detrás de ADKAR) identifica el patrocinio visible y activo de un líder como el factor individual con mayor correlación con el éxito de un cambio organizacional, por encima de la calidad de la metodología usada. La investigación de efectividad comercial coincide desde otro ángulo: el comportamiento de coaching del gerente de primera línea es el mayor amplificador del cambio individual de un vendedor. Ambas líneas apuntan a lo mismo: sin un líder visiblemente comprometido, el cambio individual se sostiene mucho menos tiempo.</w:t>
      </w:r>
    </w:p>
    <w:p>
      <w:pPr>
        <w:pStyle w:val="Heading2"/>
      </w:pPr>
      <w:r>
        <w:t>4.2 Definición y alcance</w:t>
      </w:r>
    </w:p>
    <w:p>
      <w:r>
        <w:rPr>
          <w:b w:val="0"/>
          <w:i w:val="0"/>
        </w:rPr>
        <w:t>El Promotor es un líder de la organización que se compromete de forma visible con la implementación, y que recibe entrenamiento específico para patrocinar bien. Un patrocinador sin preparación casi siempre patrocina mal: autoriza el proceso pero no participa, o participa de una forma que contradice el mensaje que dice apoyar. El rol aplica solo cuando el sujeto del Diagnóstico es un equipo o una organización. No aplica a la persona que se acerca sola, que sigue sostenida únicamente por su Aliado.</w:t>
      </w:r>
    </w:p>
    <w:p>
      <w:pPr>
        <w:pStyle w:val="Heading2"/>
      </w:pPr>
      <w:r>
        <w:t>4.3 Cómo convive con el Aliado</w:t>
      </w:r>
    </w:p>
    <w:p>
      <w:r>
        <w:rPr>
          <w:b w:val="0"/>
          <w:i w:val="0"/>
        </w:rPr>
        <w:t>El Promotor no reemplaza al Aliado, se suma. El Aliado sostiene el hábito cotidiano entre pares, sin jerarquía. El Promotor sostiene la legitimidad y visibilidad del cambio desde la posición de autoridad. Cada compromiso de Apropiación puede tener revisión de Aliado cada tres semanas, y una revisión de Promotor con cadencia distinta, menos frecuente y más simbólica, por ejemplo al cierre de cada fase.</w:t>
      </w:r>
    </w:p>
    <w:p>
      <w:pPr>
        <w:pStyle w:val="Heading2"/>
      </w:pPr>
      <w:r>
        <w:t>4.4 Entrenamiento del Promotor</w:t>
      </w:r>
    </w:p>
    <w:p>
      <w:r>
        <w:rPr>
          <w:b w:val="0"/>
          <w:i w:val="0"/>
        </w:rPr>
        <w:t>No es un curso largo. Es una sesión breve y específica sobre qué significa patrocinar bien: presencia visible, lenguaje consistente con el proceso, no delegar el mensaje a otros, reconocer avances en público. Se entrega como parte del Programa de Restauración a la Medida cuando el cliente es un equipo o una organización.</w:t>
      </w:r>
    </w:p>
    <w:p>
      <w:pPr>
        <w:pStyle w:val="Heading1"/>
      </w:pPr>
      <w:r>
        <w:t>5. Qué cambiaría en los documentos existentes</w:t>
      </w:r>
    </w:p>
    <w:p>
      <w:pPr>
        <w:spacing w:before="40" w:after="240"/>
        <w:pBdr>
          <w:bottom w:val="single" w:sz="8" w:space="1" w:color="E07B39"/>
        </w:pBdr>
      </w:pPr>
    </w:p>
    <w:p>
      <w:pPr>
        <w:pStyle w:val="ListBullet"/>
      </w:pPr>
      <w:r>
        <w:rPr>
          <w:b/>
        </w:rPr>
        <w:t xml:space="preserve">Documento de teoría completa: </w:t>
      </w:r>
      <w:r>
        <w:t>la sección 5 ganaría un apartado nuevo, "La pista estructural", y la sección 7 (Apropiación) ganaría un apartado sobre el Promotor.</w:t>
      </w:r>
    </w:p>
    <w:p>
      <w:pPr>
        <w:pStyle w:val="ListBullet"/>
      </w:pPr>
      <w:r>
        <w:rPr>
          <w:b/>
        </w:rPr>
        <w:t xml:space="preserve">Brief de la web: </w:t>
      </w:r>
      <w:r>
        <w:t>no cambia el copy público de la landing. Esto es contenido del Programa de Restauración a la Medida y del Diagnóstico Comercial cuando el cliente es un equipo, no un tema para el copy de venta general. Se documentaría como nota interna dentro de la sección de Metodología final.</w:t>
      </w:r>
    </w:p>
    <w:p>
      <w:pPr>
        <w:pStyle w:val="ListBullet"/>
      </w:pPr>
      <w:r>
        <w:rPr>
          <w:b/>
        </w:rPr>
        <w:t xml:space="preserve">Diagnóstico Comercial (2 a 3 semanas): </w:t>
      </w:r>
      <w:r>
        <w:t>sumaría, cuando el sujeto es equipo u organización, una lectura breve de las cuatro condiciones estructurales junto al puntaje de los ocho frentes.</w:t>
      </w:r>
    </w:p>
    <w:p>
      <w:pPr>
        <w:pStyle w:val="Heading1"/>
      </w:pPr>
      <w:r>
        <w:t>6. Preguntas abiertas: resueltas por el Reporte Estratégico de Mercado</w:t>
      </w:r>
    </w:p>
    <w:p>
      <w:pPr>
        <w:spacing w:before="40" w:after="240"/>
        <w:pBdr>
          <w:bottom w:val="single" w:sz="8" w:space="1" w:color="E07B39"/>
        </w:pBdr>
      </w:pPr>
    </w:p>
    <w:p>
      <w:pPr>
        <w:pStyle w:val="ListBullet"/>
      </w:pPr>
      <w:r>
        <w:rPr>
          <w:b/>
        </w:rPr>
        <w:t xml:space="preserve">¿"Promotor" es el nombre definitivo? RESUELTO. </w:t>
      </w:r>
      <w:r>
        <w:t>Queda igual. El reporte estratégico de julio 2026 lo mantiene sin cambios.</w:t>
      </w:r>
    </w:p>
    <w:p>
      <w:pPr>
        <w:pStyle w:val="ListBullet"/>
      </w:pPr>
      <w:r>
        <w:rPr>
          <w:b/>
        </w:rPr>
        <w:t xml:space="preserve">¿Diagnóstico Comercial estándar o solo Programa a la Medida? RESUELTO. </w:t>
      </w:r>
      <w:r>
        <w:t>Dentro del Diagnóstico Comercial estándar cuando el sujeto es equipo u organización. Es el diferenciador de método más defendible frente a la consultoría de transformación cultural convencional; reservarlo como upsell del Programa a la Medida lo diluiría.</w:t>
      </w:r>
    </w:p>
    <w:p>
      <w:pPr>
        <w:pStyle w:val="ListBullet"/>
      </w:pPr>
      <w:r>
        <w:rPr>
          <w:b/>
        </w:rPr>
        <w:t xml:space="preserve">¿Entrenamiento facturable aparte? RESUELTO. </w:t>
      </w:r>
      <w:r>
        <w:t>Incluido en el precio del Programa de Restauración a la Medida, presentado como garantía de sostenimiento, no como línea de factura aparte.</w:t>
      </w:r>
    </w:p>
    <w:p>
      <w:pPr>
        <w:pStyle w:val="ListBullet"/>
      </w:pPr>
      <w:r>
        <w:rPr>
          <w:b/>
        </w:rPr>
        <w:t xml:space="preserve">¿Acceso a cifras salariales confidenciales? SIGUE ABIERTA. </w:t>
      </w:r>
      <w:r>
        <w:t>Sigue abierta. El reporte no la aborda. Queda pendiente de resolver en el primer caso real: qué tan a fondo se puede diagnosticar esta condición sin ver cifras salariales confidenciales del cliente.</w:t>
      </w:r>
    </w:p>
    <w:p>
      <w:pPr>
        <w:pStyle w:val="Heading1"/>
      </w:pPr>
      <w:r>
        <w:t>7. Referencia visual</w:t>
      </w:r>
    </w:p>
    <w:p>
      <w:pPr>
        <w:spacing w:before="40" w:after="240"/>
        <w:pBdr>
          <w:bottom w:val="single" w:sz="8" w:space="1" w:color="E07B39"/>
        </w:pBdr>
      </w:pPr>
    </w:p>
    <w:p>
      <w:r>
        <w:rPr>
          <w:b w:val="0"/>
          <w:i w:val="0"/>
        </w:rPr>
        <w:t>La infografía "Dos pistas del Diagnóstico: persona y sistema", compartida en la conversación de origen de esta propuesta, sirve como mapa visual: arriba, las cinco fases; bajo Diagnóstico, las dos pistas en paralelo (frentes humanos y condiciones estructurales); ambas convergen en Desmontaje, Ensamblaje y Ajuste; y en Apropiación, el Aliado y el Promotor como dos reforzadores distintos.</w:t>
      </w:r>
    </w:p>
    <w:p/>
    <w:p>
      <w:pPr>
        <w:spacing w:before="40" w:after="240"/>
        <w:pBdr>
          <w:bottom w:val="single" w:sz="4" w:space="1" w:color="142847"/>
        </w:pBdr>
      </w:pPr>
    </w:p>
    <w:p>
      <w:pPr>
        <w:jc w:val="center"/>
      </w:pPr>
      <w:r>
        <w:rPr>
          <w:b w:val="0"/>
          <w:i/>
          <w:color w:val="555555"/>
          <w:sz w:val="19"/>
        </w:rPr>
        <w:t>Documento de trabajo. Se descarta o se integra según lo que se acuerde en la revisión.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42847"/>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4284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D1F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