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42847"/>
          <w:sz w:val="68"/>
        </w:rPr>
        <w:t>RESTAURA</w:t>
      </w:r>
      <w:r>
        <w:rPr>
          <w:b/>
          <w:color w:val="C8922A"/>
          <w:sz w:val="68"/>
        </w:rPr>
        <w:t>.do</w:t>
      </w:r>
    </w:p>
    <w:p>
      <w:pPr>
        <w:spacing w:before="120"/>
        <w:jc w:val="center"/>
      </w:pPr>
      <w:r>
        <w:rPr>
          <w:b/>
          <w:color w:val="0D1F3C"/>
          <w:sz w:val="40"/>
        </w:rPr>
        <w:t>Guía de marca</w:t>
      </w:r>
    </w:p>
    <w:p>
      <w:pPr>
        <w:spacing w:before="80"/>
        <w:jc w:val="center"/>
      </w:pPr>
      <w:r>
        <w:rPr>
          <w:i/>
          <w:color w:val="555555"/>
          <w:sz w:val="25"/>
        </w:rPr>
        <w:t>Para uso de diseño: wordmark, paleta, tipografía, tono visual y referencia fotográfica</w:t>
      </w:r>
    </w:p>
    <w:p/>
    <w:p/>
    <w:p/>
    <w:p>
      <w:pPr>
        <w:jc w:val="center"/>
      </w:pPr>
      <w:r>
        <w:rPr>
          <w:i/>
          <w:color w:val="E07B39"/>
          <w:sz w:val="26"/>
        </w:rPr>
        <w:t>"Nadie necesita reinventarse. Necesita recordar."</w:t>
      </w:r>
    </w:p>
    <w:p/>
    <w:p/>
    <w:p/>
    <w:p/>
    <w:p>
      <w:pPr>
        <w:jc w:val="center"/>
      </w:pPr>
      <w:r>
        <w:rPr>
          <w:b/>
          <w:color w:val="142847"/>
          <w:sz w:val="24"/>
        </w:rPr>
        <w:t>Oscar Gelves — Maestro Restaurador</w:t>
      </w:r>
    </w:p>
    <w:p>
      <w:pPr>
        <w:jc w:val="center"/>
      </w:pPr>
      <w:r>
        <w:rPr>
          <w:color w:val="555555"/>
          <w:sz w:val="20"/>
        </w:rPr>
        <w:t>Julio de 2026 · Versión 2 (tono de taller + postura StoryBrand)</w:t>
      </w:r>
    </w:p>
    <w:p>
      <w:r>
        <w:br w:type="page"/>
      </w:r>
    </w:p>
    <w:p>
      <w:pPr>
        <w:pStyle w:val="Heading1"/>
      </w:pPr>
      <w:r>
        <w:t>1. El wordmark</w:t>
      </w:r>
    </w:p>
    <w:p>
      <w:pPr>
        <w:spacing w:before="40" w:after="240"/>
        <w:pBdr>
          <w:bottom w:val="single" w:sz="8" w:space="1" w:color="C8922A"/>
        </w:pBdr>
      </w:pPr>
    </w:p>
    <w:p>
      <w:r>
        <w:rPr>
          <w:b w:val="0"/>
          <w:i w:val="0"/>
        </w:rPr>
        <w:t>No es una fuente ni un logotipo de imagen: es texto real construido letra por letra. Nunca reemplazar por una fuente script, un SVG trazado a mano, o una imagen exportada. Debe reconstruirse como texto real (accesible, editable, sin archivo de imagen) en cualquier pieza donde aparezca.</w:t>
      </w:r>
    </w:p>
    <w:p>
      <w:pPr>
        <w:pStyle w:val="ListBullet"/>
      </w:pPr>
      <w:r>
        <w:rPr>
          <w:b/>
        </w:rPr>
        <w:t xml:space="preserve">Tipografía: </w:t>
      </w:r>
      <w:r>
        <w:t>Sora, peso 700 (Google Fonts: Sora:wght@700).</w:t>
      </w:r>
    </w:p>
    <w:p>
      <w:pPr>
        <w:pStyle w:val="ListBullet"/>
      </w:pPr>
      <w:r>
        <w:rPr>
          <w:b/>
        </w:rPr>
        <w:t xml:space="preserve">Texto: </w:t>
      </w:r>
      <w:r>
        <w:t>restaura.do, todo en minúsculas, incluye el punto.</w:t>
      </w:r>
    </w:p>
    <w:p>
      <w:pPr>
        <w:pStyle w:val="ListBullet"/>
      </w:pPr>
      <w:r>
        <w:rPr>
          <w:b/>
        </w:rPr>
        <w:t xml:space="preserve">Letter-spacing: </w:t>
      </w:r>
      <w:r>
        <w:t>-1px a tamaño 44px, escalar proporcionalmente (aprox. -0.023 × font-size).</w:t>
      </w:r>
    </w:p>
    <w:p>
      <w:r>
        <w:rPr>
          <w:b w:val="0"/>
          <w:i w:val="0"/>
        </w:rPr>
        <w:t>Efecto "de la oscuridad a la luz": cada letra de "restaura" tiene una opacidad creciente, y ".do" queda siempre sólido en oro. Sobre fondo navy/oscuro, el color base es crema (#F4E9D8). Sobre fondo claro/blanco, el color base es navy (#142847).</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rPr>
          <w:cantSplit/>
        </w:trPr>
        <w:tc>
          <w:tcPr>
            <w:tcW w:type="dxa" w:w="1224"/>
            <w:shd w:val="clear" w:color="auto" w:fill="142847"/>
          </w:tcPr>
          <w:p>
            <w:r/>
            <w:r>
              <w:rPr>
                <w:b/>
                <w:color w:val="FFFFFF"/>
                <w:sz w:val="21"/>
              </w:rPr>
              <w:t>Letra</w:t>
            </w:r>
          </w:p>
        </w:tc>
        <w:tc>
          <w:tcPr>
            <w:tcW w:type="dxa" w:w="792"/>
            <w:shd w:val="clear" w:color="auto" w:fill="142847"/>
          </w:tcPr>
          <w:p>
            <w:r/>
            <w:r>
              <w:rPr>
                <w:b/>
                <w:color w:val="FFFFFF"/>
                <w:sz w:val="21"/>
              </w:rPr>
              <w:t>r</w:t>
            </w:r>
          </w:p>
        </w:tc>
        <w:tc>
          <w:tcPr>
            <w:tcW w:type="dxa" w:w="792"/>
            <w:shd w:val="clear" w:color="auto" w:fill="142847"/>
          </w:tcPr>
          <w:p>
            <w:r/>
            <w:r>
              <w:rPr>
                <w:b/>
                <w:color w:val="FFFFFF"/>
                <w:sz w:val="21"/>
              </w:rPr>
              <w:t>e</w:t>
            </w:r>
          </w:p>
        </w:tc>
        <w:tc>
          <w:tcPr>
            <w:tcW w:type="dxa" w:w="792"/>
            <w:shd w:val="clear" w:color="auto" w:fill="142847"/>
          </w:tcPr>
          <w:p>
            <w:r/>
            <w:r>
              <w:rPr>
                <w:b/>
                <w:color w:val="FFFFFF"/>
                <w:sz w:val="21"/>
              </w:rPr>
              <w:t>s</w:t>
            </w:r>
          </w:p>
        </w:tc>
        <w:tc>
          <w:tcPr>
            <w:tcW w:type="dxa" w:w="792"/>
            <w:shd w:val="clear" w:color="auto" w:fill="142847"/>
          </w:tcPr>
          <w:p>
            <w:r/>
            <w:r>
              <w:rPr>
                <w:b/>
                <w:color w:val="FFFFFF"/>
                <w:sz w:val="21"/>
              </w:rPr>
              <w:t>t</w:t>
            </w:r>
          </w:p>
        </w:tc>
        <w:tc>
          <w:tcPr>
            <w:tcW w:type="dxa" w:w="792"/>
            <w:shd w:val="clear" w:color="auto" w:fill="142847"/>
          </w:tcPr>
          <w:p>
            <w:r/>
            <w:r>
              <w:rPr>
                <w:b/>
                <w:color w:val="FFFFFF"/>
                <w:sz w:val="21"/>
              </w:rPr>
              <w:t>a</w:t>
            </w:r>
          </w:p>
        </w:tc>
        <w:tc>
          <w:tcPr>
            <w:tcW w:type="dxa" w:w="792"/>
            <w:shd w:val="clear" w:color="auto" w:fill="142847"/>
          </w:tcPr>
          <w:p>
            <w:r/>
            <w:r>
              <w:rPr>
                <w:b/>
                <w:color w:val="FFFFFF"/>
                <w:sz w:val="21"/>
              </w:rPr>
              <w:t>u</w:t>
            </w:r>
          </w:p>
        </w:tc>
        <w:tc>
          <w:tcPr>
            <w:tcW w:type="dxa" w:w="792"/>
            <w:shd w:val="clear" w:color="auto" w:fill="142847"/>
          </w:tcPr>
          <w:p>
            <w:r/>
            <w:r>
              <w:rPr>
                <w:b/>
                <w:color w:val="FFFFFF"/>
                <w:sz w:val="21"/>
              </w:rPr>
              <w:t>r</w:t>
            </w:r>
          </w:p>
        </w:tc>
        <w:tc>
          <w:tcPr>
            <w:tcW w:type="dxa" w:w="792"/>
            <w:shd w:val="clear" w:color="auto" w:fill="142847"/>
          </w:tcPr>
          <w:p>
            <w:r/>
            <w:r>
              <w:rPr>
                <w:b/>
                <w:color w:val="FFFFFF"/>
                <w:sz w:val="21"/>
              </w:rPr>
              <w:t>a</w:t>
            </w:r>
          </w:p>
        </w:tc>
        <w:tc>
          <w:tcPr>
            <w:tcW w:type="dxa" w:w="1224"/>
            <w:shd w:val="clear" w:color="auto" w:fill="142847"/>
          </w:tcPr>
          <w:p>
            <w:r/>
            <w:r>
              <w:rPr>
                <w:b/>
                <w:color w:val="FFFFFF"/>
                <w:sz w:val="21"/>
              </w:rPr>
              <w:t>.do</w:t>
            </w:r>
          </w:p>
        </w:tc>
      </w:tr>
      <w:tr>
        <w:trPr>
          <w:cantSplit/>
        </w:trPr>
        <w:tc>
          <w:tcPr>
            <w:tcW w:type="dxa" w:w="1224"/>
          </w:tcPr>
          <w:p>
            <w:r/>
            <w:r>
              <w:rPr>
                <w:sz w:val="20"/>
              </w:rPr>
              <w:t>Opacidad</w:t>
            </w:r>
          </w:p>
        </w:tc>
        <w:tc>
          <w:tcPr>
            <w:tcW w:type="dxa" w:w="792"/>
          </w:tcPr>
          <w:p>
            <w:r/>
            <w:r>
              <w:rPr>
                <w:sz w:val="20"/>
              </w:rPr>
              <w:t>0.2</w:t>
            </w:r>
          </w:p>
        </w:tc>
        <w:tc>
          <w:tcPr>
            <w:tcW w:type="dxa" w:w="792"/>
          </w:tcPr>
          <w:p>
            <w:r/>
            <w:r>
              <w:rPr>
                <w:sz w:val="20"/>
              </w:rPr>
              <w:t>0.32</w:t>
            </w:r>
          </w:p>
        </w:tc>
        <w:tc>
          <w:tcPr>
            <w:tcW w:type="dxa" w:w="792"/>
          </w:tcPr>
          <w:p>
            <w:r/>
            <w:r>
              <w:rPr>
                <w:sz w:val="20"/>
              </w:rPr>
              <w:t>0.44</w:t>
            </w:r>
          </w:p>
        </w:tc>
        <w:tc>
          <w:tcPr>
            <w:tcW w:type="dxa" w:w="792"/>
          </w:tcPr>
          <w:p>
            <w:r/>
            <w:r>
              <w:rPr>
                <w:sz w:val="20"/>
              </w:rPr>
              <w:t>0.56</w:t>
            </w:r>
          </w:p>
        </w:tc>
        <w:tc>
          <w:tcPr>
            <w:tcW w:type="dxa" w:w="792"/>
          </w:tcPr>
          <w:p>
            <w:r/>
            <w:r>
              <w:rPr>
                <w:sz w:val="20"/>
              </w:rPr>
              <w:t>0.68</w:t>
            </w:r>
          </w:p>
        </w:tc>
        <w:tc>
          <w:tcPr>
            <w:tcW w:type="dxa" w:w="792"/>
          </w:tcPr>
          <w:p>
            <w:r/>
            <w:r>
              <w:rPr>
                <w:sz w:val="20"/>
              </w:rPr>
              <w:t>0.8</w:t>
            </w:r>
          </w:p>
        </w:tc>
        <w:tc>
          <w:tcPr>
            <w:tcW w:type="dxa" w:w="792"/>
          </w:tcPr>
          <w:p>
            <w:r/>
            <w:r>
              <w:rPr>
                <w:sz w:val="20"/>
              </w:rPr>
              <w:t>0.9</w:t>
            </w:r>
          </w:p>
        </w:tc>
        <w:tc>
          <w:tcPr>
            <w:tcW w:type="dxa" w:w="792"/>
          </w:tcPr>
          <w:p>
            <w:r/>
            <w:r>
              <w:rPr>
                <w:sz w:val="20"/>
              </w:rPr>
              <w:t>1</w:t>
            </w:r>
          </w:p>
        </w:tc>
        <w:tc>
          <w:tcPr>
            <w:tcW w:type="dxa" w:w="1224"/>
          </w:tcPr>
          <w:p>
            <w:r/>
            <w:r>
              <w:rPr>
                <w:sz w:val="20"/>
              </w:rPr>
              <w:t>sólido oro</w:t>
            </w:r>
          </w:p>
        </w:tc>
      </w:tr>
    </w:tbl>
    <w:p>
      <w:r>
        <w:rPr>
          <w:b w:val="0"/>
          <w:i/>
          <w:color w:val="555555"/>
          <w:sz w:val="19"/>
        </w:rPr>
        <w:t>Simulación sobre fondo oscuro:</w:t>
      </w:r>
    </w:p>
    <w:tbl>
      <w:tblPr>
        <w:tblW w:type="auto" w:w="0"/>
        <w:jc w:val="center"/>
        <w:tblLook w:firstColumn="1" w:firstRow="1" w:lastColumn="0" w:lastRow="0" w:noHBand="0" w:noVBand="1" w:val="04A0"/>
      </w:tblPr>
      <w:tblGrid>
        <w:gridCol w:w="9406"/>
      </w:tblGrid>
      <w:tr>
        <w:tc>
          <w:tcPr>
            <w:tcW w:type="dxa" w:w="9360"/>
            <w:shd w:val="clear" w:color="auto" w:fill="0D1F3C"/>
          </w:tcPr>
          <w:p>
            <w:pPr>
              <w:spacing w:before="280" w:after="280"/>
              <w:jc w:val="center"/>
            </w:pPr>
            <w:r>
              <w:rPr>
                <w:rFonts w:ascii="Calibri" w:hAnsi="Calibri"/>
                <w:b/>
                <w:color w:val="3B475B"/>
                <w:sz w:val="60"/>
              </w:rPr>
              <w:t>r</w:t>
            </w:r>
            <w:r>
              <w:rPr>
                <w:rFonts w:ascii="Calibri" w:hAnsi="Calibri"/>
                <w:b/>
                <w:color w:val="565F6D"/>
                <w:sz w:val="60"/>
              </w:rPr>
              <w:t>e</w:t>
            </w:r>
            <w:r>
              <w:rPr>
                <w:rFonts w:ascii="Calibri" w:hAnsi="Calibri"/>
                <w:b/>
                <w:color w:val="727780"/>
                <w:sz w:val="60"/>
              </w:rPr>
              <w:t>s</w:t>
            </w:r>
            <w:r>
              <w:rPr>
                <w:rFonts w:ascii="Calibri" w:hAnsi="Calibri"/>
                <w:b/>
                <w:color w:val="8E9093"/>
                <w:sz w:val="60"/>
              </w:rPr>
              <w:t>t</w:t>
            </w:r>
            <w:r>
              <w:rPr>
                <w:rFonts w:ascii="Calibri" w:hAnsi="Calibri"/>
                <w:b/>
                <w:color w:val="AAA8A6"/>
                <w:sz w:val="60"/>
              </w:rPr>
              <w:t>a</w:t>
            </w:r>
            <w:r>
              <w:rPr>
                <w:rFonts w:ascii="Calibri" w:hAnsi="Calibri"/>
                <w:b/>
                <w:color w:val="C5C0B8"/>
                <w:sz w:val="60"/>
              </w:rPr>
              <w:t>u</w:t>
            </w:r>
            <w:r>
              <w:rPr>
                <w:rFonts w:ascii="Calibri" w:hAnsi="Calibri"/>
                <w:b/>
                <w:color w:val="DCD4C8"/>
                <w:sz w:val="60"/>
              </w:rPr>
              <w:t>r</w:t>
            </w:r>
            <w:r>
              <w:rPr>
                <w:rFonts w:ascii="Calibri" w:hAnsi="Calibri"/>
                <w:b/>
                <w:color w:val="F4E9D8"/>
                <w:sz w:val="60"/>
              </w:rPr>
              <w:t>a</w:t>
            </w:r>
            <w:r>
              <w:rPr>
                <w:rFonts w:ascii="Calibri" w:hAnsi="Calibri"/>
                <w:b/>
                <w:color w:val="C8922A"/>
                <w:sz w:val="60"/>
              </w:rPr>
              <w:t>.</w:t>
            </w:r>
            <w:r>
              <w:rPr>
                <w:rFonts w:ascii="Calibri" w:hAnsi="Calibri"/>
                <w:b/>
                <w:color w:val="C8922A"/>
                <w:sz w:val="60"/>
              </w:rPr>
              <w:t>d</w:t>
            </w:r>
            <w:r>
              <w:rPr>
                <w:rFonts w:ascii="Calibri" w:hAnsi="Calibri"/>
                <w:b/>
                <w:color w:val="C8922A"/>
                <w:sz w:val="60"/>
              </w:rPr>
              <w:t>o</w:t>
            </w:r>
          </w:p>
        </w:tc>
      </w:tr>
    </w:tbl>
    <w:p>
      <w:r>
        <w:rPr>
          <w:b w:val="0"/>
          <w:i/>
          <w:color w:val="555555"/>
          <w:sz w:val="19"/>
        </w:rPr>
        <w:t>Simulación sobre fondo claro:</w:t>
      </w:r>
    </w:p>
    <w:tbl>
      <w:tblPr>
        <w:tblW w:type="auto" w:w="0"/>
        <w:jc w:val="center"/>
        <w:tblLook w:firstColumn="1" w:firstRow="1" w:lastColumn="0" w:lastRow="0" w:noHBand="0" w:noVBand="1" w:val="04A0"/>
      </w:tblPr>
      <w:tblGrid>
        <w:gridCol w:w="9406"/>
      </w:tblGrid>
      <w:tr>
        <w:tc>
          <w:tcPr>
            <w:tcW w:type="dxa" w:w="9360"/>
            <w:shd w:val="clear" w:color="auto" w:fill="FBF8F2"/>
          </w:tcPr>
          <w:p>
            <w:pPr>
              <w:spacing w:before="280" w:after="280"/>
              <w:jc w:val="center"/>
            </w:pPr>
            <w:r>
              <w:rPr>
                <w:rFonts w:ascii="Calibri" w:hAnsi="Calibri"/>
                <w:b/>
                <w:color w:val="CCCECF"/>
                <w:sz w:val="60"/>
              </w:rPr>
              <w:t>r</w:t>
            </w:r>
            <w:r>
              <w:rPr>
                <w:rFonts w:ascii="Calibri" w:hAnsi="Calibri"/>
                <w:b/>
                <w:color w:val="B1B5BB"/>
                <w:sz w:val="60"/>
              </w:rPr>
              <w:t>e</w:t>
            </w:r>
            <w:r>
              <w:rPr>
                <w:rFonts w:ascii="Calibri" w:hAnsi="Calibri"/>
                <w:b/>
                <w:color w:val="959CA6"/>
                <w:sz w:val="60"/>
              </w:rPr>
              <w:t>s</w:t>
            </w:r>
            <w:r>
              <w:rPr>
                <w:rFonts w:ascii="Calibri" w:hAnsi="Calibri"/>
                <w:b/>
                <w:color w:val="798392"/>
                <w:sz w:val="60"/>
              </w:rPr>
              <w:t>t</w:t>
            </w:r>
            <w:r>
              <w:rPr>
                <w:rFonts w:ascii="Calibri" w:hAnsi="Calibri"/>
                <w:b/>
                <w:color w:val="5D6A7D"/>
                <w:sz w:val="60"/>
              </w:rPr>
              <w:t>a</w:t>
            </w:r>
            <w:r>
              <w:rPr>
                <w:rFonts w:ascii="Calibri" w:hAnsi="Calibri"/>
                <w:b/>
                <w:color w:val="425169"/>
                <w:sz w:val="60"/>
              </w:rPr>
              <w:t>u</w:t>
            </w:r>
            <w:r>
              <w:rPr>
                <w:rFonts w:ascii="Calibri" w:hAnsi="Calibri"/>
                <w:b/>
                <w:color w:val="2B3C58"/>
                <w:sz w:val="60"/>
              </w:rPr>
              <w:t>r</w:t>
            </w:r>
            <w:r>
              <w:rPr>
                <w:rFonts w:ascii="Calibri" w:hAnsi="Calibri"/>
                <w:b/>
                <w:color w:val="142847"/>
                <w:sz w:val="60"/>
              </w:rPr>
              <w:t>a</w:t>
            </w:r>
            <w:r>
              <w:rPr>
                <w:rFonts w:ascii="Calibri" w:hAnsi="Calibri"/>
                <w:b/>
                <w:color w:val="C8922A"/>
                <w:sz w:val="60"/>
              </w:rPr>
              <w:t>.</w:t>
            </w:r>
            <w:r>
              <w:rPr>
                <w:rFonts w:ascii="Calibri" w:hAnsi="Calibri"/>
                <w:b/>
                <w:color w:val="C8922A"/>
                <w:sz w:val="60"/>
              </w:rPr>
              <w:t>d</w:t>
            </w:r>
            <w:r>
              <w:rPr>
                <w:rFonts w:ascii="Calibri" w:hAnsi="Calibri"/>
                <w:b/>
                <w:color w:val="C8922A"/>
                <w:sz w:val="60"/>
              </w:rPr>
              <w:t>o</w:t>
            </w:r>
          </w:p>
        </w:tc>
      </w:tr>
    </w:tbl>
    <w:p>
      <w:pPr>
        <w:pStyle w:val="ListBullet"/>
      </w:pPr>
      <w:r>
        <w:t>Sin ícono ni símbolo, el wordmark es el único elemento de marca. Para favicon o avatar donde no cabe la palabra completa, usar solo la letra "r" en Sora 700, color oro, sobre fondo navy.</w:t>
      </w:r>
    </w:p>
    <w:p>
      <w:pPr>
        <w:pStyle w:val="ListBullet"/>
      </w:pPr>
      <w:r>
        <w:t>Tamaño mínimo: 90px de ancho en digital, 25mm en impreso. Espacio libre mínimo alrededor: la altura de la "d".</w:t>
      </w:r>
    </w:p>
    <w:p>
      <w:pPr>
        <w:pStyle w:val="ListBullet"/>
      </w:pPr>
      <w:r>
        <w:t>Nunca recolorear el degradado de opacidad, invertir dónde "enciende", o reconstruirlo con otra tipografía.</w:t>
      </w:r>
    </w:p>
    <w:p>
      <w:r>
        <w:rPr>
          <w:b/>
          <w:i w:val="0"/>
          <w:sz w:val="20"/>
        </w:rPr>
        <w:t>Implementación de referencia en HTML (fondo oscuro):</w:t>
      </w:r>
    </w:p>
    <w:p>
      <w:r>
        <w:rPr>
          <w:rFonts w:ascii="Consolas" w:hAnsi="Consolas"/>
          <w:color w:val="33445E"/>
          <w:sz w:val="17"/>
        </w:rPr>
        <w:t>&lt;div style="font-family:Sora,sans-serif;font-weight:700;font-size:44px;letter-spacing:-1px;display:flex;align-items:baseline;"&gt;</w:t>
        <w:br/>
        <w:t xml:space="preserve">  &lt;span style="opacity:0.2;color:#F4E9D8;"&gt;r&lt;/span&gt;&lt;span style="opacity:0.32;color:#F4E9D8;"&gt;e&lt;/span&gt;&lt;span style="opacity:0.44;color:#F4E9D8;"&gt;s&lt;/span&gt;&lt;span style="opacity:0.56;color:#F4E9D8;"&gt;t&lt;/span&gt;&lt;span style="opacity:0.68;color:#F4E9D8;"&gt;a&lt;/span&gt;&lt;span style="opacity:0.8;color:#F4E9D8;"&gt;u&lt;/span&gt;&lt;span style="opacity:0.9;color:#F4E9D8;"&gt;r&lt;/span&gt;&lt;span style="opacity:1;color:#F4E9D8;"&gt;a&lt;/span&gt;&lt;span style="color:#C8922A;"&gt;.&lt;/span&gt;&lt;span style="color:#C8922A;"&gt;d&lt;/span&gt;&lt;span style="color:#C8922A;"&gt;o&lt;/span&gt;</w:t>
        <w:br/>
        <w:t>&lt;/div&gt;</w:t>
      </w:r>
    </w:p>
    <w:p>
      <w:r>
        <w:rPr>
          <w:b w:val="0"/>
          <w:i/>
          <w:color w:val="555555"/>
          <w:sz w:val="18"/>
        </w:rPr>
        <w:t>Para fondo claro, sustituir #F4E9D8 por #142847 en los primeros 8 spans.</w:t>
      </w:r>
    </w:p>
    <w:p>
      <w:pPr>
        <w:pStyle w:val="Heading1"/>
      </w:pPr>
      <w:r>
        <w:t>2. Paleta de color</w:t>
      </w:r>
    </w:p>
    <w:p>
      <w:pPr>
        <w:spacing w:before="40" w:after="240"/>
        <w:pBdr>
          <w:bottom w:val="single" w:sz="8" w:space="1" w:color="C8922A"/>
        </w:pBdr>
      </w:pP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864"/>
            <w:shd w:val="clear" w:color="auto" w:fill="142847"/>
          </w:tcPr>
          <w:p>
            <w:r/>
            <w:r>
              <w:rPr>
                <w:b/>
                <w:color w:val="FFFFFF"/>
                <w:sz w:val="21"/>
              </w:rPr>
              <w:t>Muestra</w:t>
            </w:r>
          </w:p>
        </w:tc>
        <w:tc>
          <w:tcPr>
            <w:tcW w:type="dxa" w:w="2304"/>
            <w:shd w:val="clear" w:color="auto" w:fill="142847"/>
          </w:tcPr>
          <w:p>
            <w:r/>
            <w:r>
              <w:rPr>
                <w:b/>
                <w:color w:val="FFFFFF"/>
                <w:sz w:val="21"/>
              </w:rPr>
              <w:t>Nombre</w:t>
            </w:r>
          </w:p>
        </w:tc>
        <w:tc>
          <w:tcPr>
            <w:tcW w:type="dxa" w:w="1584"/>
            <w:shd w:val="clear" w:color="auto" w:fill="142847"/>
          </w:tcPr>
          <w:p>
            <w:r/>
            <w:r>
              <w:rPr>
                <w:b/>
                <w:color w:val="FFFFFF"/>
                <w:sz w:val="21"/>
              </w:rPr>
              <w:t>Hex</w:t>
            </w:r>
          </w:p>
        </w:tc>
        <w:tc>
          <w:tcPr>
            <w:tcW w:type="dxa" w:w="4608"/>
            <w:shd w:val="clear" w:color="auto" w:fill="142847"/>
          </w:tcPr>
          <w:p>
            <w:r/>
            <w:r>
              <w:rPr>
                <w:b/>
                <w:color w:val="FFFFFF"/>
                <w:sz w:val="21"/>
              </w:rPr>
              <w:t>Uso</w:t>
            </w:r>
          </w:p>
        </w:tc>
      </w:tr>
      <w:tr>
        <w:trPr>
          <w:cantSplit/>
        </w:trPr>
        <w:tc>
          <w:tcPr>
            <w:tcW w:type="dxa" w:w="864"/>
            <w:shd w:val="clear" w:color="auto" w:fill="142847"/>
          </w:tcPr>
          <w:p/>
        </w:tc>
        <w:tc>
          <w:tcPr>
            <w:tcW w:type="dxa" w:w="2304"/>
          </w:tcPr>
          <w:p>
            <w:r>
              <w:rPr>
                <w:sz w:val="20"/>
              </w:rPr>
              <w:t>Navy Profundo</w:t>
            </w:r>
          </w:p>
        </w:tc>
        <w:tc>
          <w:tcPr>
            <w:tcW w:type="dxa" w:w="1584"/>
          </w:tcPr>
          <w:p>
            <w:r>
              <w:rPr>
                <w:sz w:val="20"/>
              </w:rPr>
              <w:t>#142847</w:t>
            </w:r>
          </w:p>
        </w:tc>
        <w:tc>
          <w:tcPr>
            <w:tcW w:type="dxa" w:w="4608"/>
          </w:tcPr>
          <w:p>
            <w:r>
              <w:rPr>
                <w:sz w:val="20"/>
              </w:rPr>
              <w:t>Color primario, texto sobre claro, fondos</w:t>
            </w:r>
          </w:p>
        </w:tc>
      </w:tr>
      <w:tr>
        <w:trPr>
          <w:cantSplit/>
        </w:trPr>
        <w:tc>
          <w:tcPr>
            <w:tcW w:type="dxa" w:w="864"/>
            <w:shd w:val="clear" w:color="auto" w:fill="0D1F3C"/>
          </w:tcPr>
          <w:p/>
        </w:tc>
        <w:tc>
          <w:tcPr>
            <w:tcW w:type="dxa" w:w="2304"/>
          </w:tcPr>
          <w:p>
            <w:r>
              <w:rPr>
                <w:sz w:val="20"/>
              </w:rPr>
              <w:t>Navy Oscuro</w:t>
            </w:r>
          </w:p>
        </w:tc>
        <w:tc>
          <w:tcPr>
            <w:tcW w:type="dxa" w:w="1584"/>
          </w:tcPr>
          <w:p>
            <w:r>
              <w:rPr>
                <w:sz w:val="20"/>
              </w:rPr>
              <w:t>#0D1F3C</w:t>
            </w:r>
          </w:p>
        </w:tc>
        <w:tc>
          <w:tcPr>
            <w:tcW w:type="dxa" w:w="4608"/>
          </w:tcPr>
          <w:p>
            <w:r>
              <w:rPr>
                <w:sz w:val="20"/>
              </w:rPr>
              <w:t>Fondos oscuros, degradados</w:t>
            </w:r>
          </w:p>
        </w:tc>
      </w:tr>
      <w:tr>
        <w:trPr>
          <w:cantSplit/>
        </w:trPr>
        <w:tc>
          <w:tcPr>
            <w:tcW w:type="dxa" w:w="864"/>
            <w:shd w:val="clear" w:color="auto" w:fill="C8922A"/>
          </w:tcPr>
          <w:p/>
        </w:tc>
        <w:tc>
          <w:tcPr>
            <w:tcW w:type="dxa" w:w="2304"/>
          </w:tcPr>
          <w:p>
            <w:r>
              <w:rPr>
                <w:sz w:val="20"/>
              </w:rPr>
              <w:t>Oro</w:t>
            </w:r>
          </w:p>
        </w:tc>
        <w:tc>
          <w:tcPr>
            <w:tcW w:type="dxa" w:w="1584"/>
          </w:tcPr>
          <w:p>
            <w:r>
              <w:rPr>
                <w:sz w:val="20"/>
              </w:rPr>
              <w:t>#C8922A</w:t>
            </w:r>
          </w:p>
        </w:tc>
        <w:tc>
          <w:tcPr>
            <w:tcW w:type="dxa" w:w="4608"/>
          </w:tcPr>
          <w:p>
            <w:r>
              <w:rPr>
                <w:sz w:val="20"/>
              </w:rPr>
              <w:t>Acento: CTA, cierre del wordmark, subrayados</w:t>
            </w:r>
          </w:p>
        </w:tc>
      </w:tr>
      <w:tr>
        <w:trPr>
          <w:cantSplit/>
        </w:trPr>
        <w:tc>
          <w:tcPr>
            <w:tcW w:type="dxa" w:w="864"/>
            <w:shd w:val="clear" w:color="auto" w:fill="E07B39"/>
          </w:tcPr>
          <w:p/>
        </w:tc>
        <w:tc>
          <w:tcPr>
            <w:tcW w:type="dxa" w:w="2304"/>
          </w:tcPr>
          <w:p>
            <w:r>
              <w:rPr>
                <w:sz w:val="20"/>
              </w:rPr>
              <w:t>Naranja de Acento</w:t>
            </w:r>
          </w:p>
        </w:tc>
        <w:tc>
          <w:tcPr>
            <w:tcW w:type="dxa" w:w="1584"/>
          </w:tcPr>
          <w:p>
            <w:r>
              <w:rPr>
                <w:sz w:val="20"/>
              </w:rPr>
              <w:t>#E07B39</w:t>
            </w:r>
          </w:p>
        </w:tc>
        <w:tc>
          <w:tcPr>
            <w:tcW w:type="dxa" w:w="4608"/>
          </w:tcPr>
          <w:p>
            <w:r>
              <w:rPr>
                <w:sz w:val="20"/>
              </w:rPr>
              <w:t>Acento secundario, usar con moderación</w:t>
            </w:r>
          </w:p>
        </w:tc>
      </w:tr>
      <w:tr>
        <w:trPr>
          <w:cantSplit/>
        </w:trPr>
        <w:tc>
          <w:tcPr>
            <w:tcW w:type="dxa" w:w="864"/>
            <w:shd w:val="clear" w:color="auto" w:fill="FBF8F2"/>
          </w:tcPr>
          <w:p/>
        </w:tc>
        <w:tc>
          <w:tcPr>
            <w:tcW w:type="dxa" w:w="2304"/>
          </w:tcPr>
          <w:p>
            <w:r>
              <w:rPr>
                <w:sz w:val="20"/>
              </w:rPr>
              <w:t>Marfil</w:t>
            </w:r>
          </w:p>
        </w:tc>
        <w:tc>
          <w:tcPr>
            <w:tcW w:type="dxa" w:w="1584"/>
          </w:tcPr>
          <w:p>
            <w:r>
              <w:rPr>
                <w:sz w:val="20"/>
              </w:rPr>
              <w:t>#FBF8F2</w:t>
            </w:r>
          </w:p>
        </w:tc>
        <w:tc>
          <w:tcPr>
            <w:tcW w:type="dxa" w:w="4608"/>
          </w:tcPr>
          <w:p>
            <w:r>
              <w:rPr>
                <w:sz w:val="20"/>
              </w:rPr>
              <w:t>Fondo de página en modo claro</w:t>
            </w:r>
          </w:p>
        </w:tc>
      </w:tr>
      <w:tr>
        <w:trPr>
          <w:cantSplit/>
        </w:trPr>
        <w:tc>
          <w:tcPr>
            <w:tcW w:type="dxa" w:w="864"/>
            <w:shd w:val="clear" w:color="auto" w:fill="33445E"/>
          </w:tcPr>
          <w:p/>
        </w:tc>
        <w:tc>
          <w:tcPr>
            <w:tcW w:type="dxa" w:w="2304"/>
          </w:tcPr>
          <w:p>
            <w:r>
              <w:rPr>
                <w:sz w:val="20"/>
              </w:rPr>
              <w:t>Texto secundario</w:t>
            </w:r>
          </w:p>
        </w:tc>
        <w:tc>
          <w:tcPr>
            <w:tcW w:type="dxa" w:w="1584"/>
          </w:tcPr>
          <w:p>
            <w:r>
              <w:rPr>
                <w:sz w:val="20"/>
              </w:rPr>
              <w:t>#33445E</w:t>
            </w:r>
          </w:p>
        </w:tc>
        <w:tc>
          <w:tcPr>
            <w:tcW w:type="dxa" w:w="4608"/>
          </w:tcPr>
          <w:p>
            <w:r>
              <w:rPr>
                <w:sz w:val="20"/>
              </w:rPr>
              <w:t>Cuerpo de texto sobre fondo claro</w:t>
            </w:r>
          </w:p>
        </w:tc>
      </w:tr>
      <w:tr>
        <w:trPr>
          <w:cantSplit/>
        </w:trPr>
        <w:tc>
          <w:tcPr>
            <w:tcW w:type="dxa" w:w="864"/>
            <w:shd w:val="clear" w:color="auto" w:fill="F4E9D8"/>
          </w:tcPr>
          <w:p/>
        </w:tc>
        <w:tc>
          <w:tcPr>
            <w:tcW w:type="dxa" w:w="2304"/>
          </w:tcPr>
          <w:p>
            <w:r>
              <w:rPr>
                <w:sz w:val="20"/>
              </w:rPr>
              <w:t>Crema</w:t>
            </w:r>
          </w:p>
        </w:tc>
        <w:tc>
          <w:tcPr>
            <w:tcW w:type="dxa" w:w="1584"/>
          </w:tcPr>
          <w:p>
            <w:r>
              <w:rPr>
                <w:sz w:val="20"/>
              </w:rPr>
              <w:t>#F4E9D8</w:t>
            </w:r>
          </w:p>
        </w:tc>
        <w:tc>
          <w:tcPr>
            <w:tcW w:type="dxa" w:w="4608"/>
          </w:tcPr>
          <w:p>
            <w:r>
              <w:rPr>
                <w:sz w:val="20"/>
              </w:rPr>
              <w:t>Texto/wordmark sobre navy</w:t>
            </w:r>
          </w:p>
        </w:tc>
      </w:tr>
    </w:tbl>
    <w:p>
      <w:r>
        <w:rPr>
          <w:b w:val="0"/>
          <w:i w:val="0"/>
        </w:rPr>
        <w:t>Regla de uso: navy domina 70-80% de cualquier aplicación. Oro y naranja son acentos, nunca al mismo peso visual en una misma pieza.</w:t>
      </w:r>
    </w:p>
    <w:p>
      <w:pPr>
        <w:pStyle w:val="Heading1"/>
      </w:pPr>
      <w:r>
        <w:t>3. Tipografía</w:t>
      </w:r>
    </w:p>
    <w:p>
      <w:pPr>
        <w:spacing w:before="40" w:after="240"/>
        <w:pBdr>
          <w:bottom w:val="single" w:sz="8" w:space="1" w:color="C8922A"/>
        </w:pBdr>
      </w:pPr>
    </w:p>
    <w:p>
      <w:pPr>
        <w:pStyle w:val="ListBullet"/>
      </w:pPr>
      <w:r>
        <w:rPr>
          <w:b/>
        </w:rPr>
        <w:t xml:space="preserve">Sora: </w:t>
      </w:r>
      <w:r>
        <w:t>peso 400 a 800. Titulares, cifras, botones, y el propio wordmark en peso 700.</w:t>
      </w:r>
    </w:p>
    <w:p>
      <w:pPr>
        <w:pStyle w:val="ListBullet"/>
      </w:pPr>
      <w:r>
        <w:rPr>
          <w:b/>
        </w:rPr>
        <w:t xml:space="preserve">Inter: </w:t>
      </w:r>
      <w:r>
        <w:t>peso 400 y 500. Cuerpo de texto, párrafos, citas.</w:t>
      </w:r>
    </w:p>
    <w:p>
      <w:r>
        <w:rPr>
          <w:rFonts w:ascii="Consolas" w:hAnsi="Consolas"/>
          <w:color w:val="33445E"/>
          <w:sz w:val="18"/>
        </w:rPr>
        <w:t>https://fonts.googleapis.com/css2?family=Sora:wght@400;600;700;800&amp;family=Inter:wght@400;500;600&amp;display=swap</w:t>
      </w:r>
    </w:p>
    <w:p>
      <w:pPr>
        <w:pStyle w:val="Heading2"/>
      </w:pPr>
      <w:r>
        <w:t>Espaciado y radios</w:t>
      </w:r>
    </w:p>
    <w:p>
      <w:pPr>
        <w:pStyle w:val="ListBullet"/>
      </w:pPr>
      <w:r>
        <w:t>Border-radius de tarjetas y contenedores: 4px a 8px.</w:t>
      </w:r>
    </w:p>
    <w:p>
      <w:pPr>
        <w:pStyle w:val="ListBullet"/>
      </w:pPr>
      <w:r>
        <w:t>Bordes sutiles: 1px solid #E4DAC7 sobre fondo claro.</w:t>
      </w:r>
    </w:p>
    <w:p>
      <w:pPr>
        <w:pStyle w:val="Heading1"/>
      </w:pPr>
      <w:r>
        <w:t>4. Tono visual: taller antes que elegancia</w:t>
      </w:r>
    </w:p>
    <w:p>
      <w:pPr>
        <w:spacing w:before="40" w:after="240"/>
        <w:pBdr>
          <w:bottom w:val="single" w:sz="8" w:space="1" w:color="C8922A"/>
        </w:pBdr>
      </w:pPr>
    </w:p>
    <w:p>
      <w:r>
        <w:rPr>
          <w:b w:val="0"/>
          <w:i w:val="0"/>
        </w:rPr>
        <w:t>La primera versión de esta marca se leía como elegancia corporativa: navy y oro, minimalismo, distancia profesional. Esa no es la prioridad. La prioridad es el taller de restauración: remangarse, ir al detalle, conocer el oficio de cerca, un enfoque humano y cercano, no una consultora distante con paleta bonita.</w:t>
      </w:r>
    </w:p>
    <w:p>
      <w:r>
        <w:rPr>
          <w:b w:val="0"/>
          <w:i w:val="0"/>
        </w:rPr>
        <w:t>Navy, oro y la tipografía siguen siendo la identidad estructural (wordmark, botones, encabezados) y no cambian. Lo que cambia es todo lo que rodea a esa estructura: fotografía, texturas, el peso relativo de las imágenes frente al texto, el tono de la escritura. La dirección fotográfica de referencia es cuero, madera, luz cálida de taller, manos trabajando, herramientas de precisión, detalle artesanal (ver sección 7).</w:t>
      </w:r>
    </w:p>
    <w:p>
      <w:r>
        <w:rPr>
          <w:b/>
          <w:i w:val="0"/>
        </w:rPr>
        <w:t>Regla simple para cualquier pieza nueva: si una decisión de diseño hace que la marca se vea más pulida y distante, va en contra de la prioridad. Si la hace ver más cercana, más de taller, más humana, va a favor, aunque sacrifique algo de pulido.</w:t>
      </w:r>
    </w:p>
    <w:p>
      <w:pPr>
        <w:pStyle w:val="Heading1"/>
      </w:pPr>
      <w:r>
        <w:t>5. Voz de marca</w:t>
      </w:r>
    </w:p>
    <w:p>
      <w:pPr>
        <w:spacing w:before="40" w:after="240"/>
        <w:pBdr>
          <w:bottom w:val="single" w:sz="8" w:space="1" w:color="C8922A"/>
        </w:pBdr>
      </w:pPr>
    </w:p>
    <w:p>
      <w:r>
        <w:rPr>
          <w:b w:val="0"/>
          <w:i w:val="0"/>
        </w:rPr>
        <w:t>Tono: profundo pero directo, y cercano antes que elegante. Alguien que se remanga y conoce el detalle del oficio, no un estratega que diagnostica desde lejos. Valores espirituales presentes pero nunca explícitos en el registro empresarial.</w:t>
      </w:r>
    </w:p>
    <w:p>
      <w:pPr>
        <w:jc w:val="center"/>
      </w:pPr>
      <w:r>
        <w:rPr>
          <w:b w:val="0"/>
          <w:i/>
          <w:color w:val="0D1F3C"/>
          <w:sz w:val="25"/>
        </w:rPr>
        <w:t>"Nadie necesita reinventarse. Necesita recordar."</w:t>
      </w:r>
    </w:p>
    <w:p>
      <w:pPr>
        <w:pStyle w:val="Heading2"/>
      </w:pPr>
      <w:r>
        <w:t>Hacer</w:t>
      </w:r>
    </w:p>
    <w:p>
      <w:pPr>
        <w:pStyle w:val="ListBullet"/>
      </w:pPr>
      <w:r>
        <w:t>Reencuadrar el síntoma como diseño perdido, no como culpa.</w:t>
      </w:r>
    </w:p>
    <w:p>
      <w:pPr>
        <w:pStyle w:val="ListBullet"/>
      </w:pPr>
      <w:r>
        <w:t>Lenguaje directo y universal, sin vocabulario técnico de ningún oficio (ni taller mecánico, ni relojería).</w:t>
      </w:r>
    </w:p>
    <w:p>
      <w:pPr>
        <w:pStyle w:val="ListBullet"/>
      </w:pPr>
      <w:r>
        <w:t>Frases cortas, un punto por idea.</w:t>
      </w:r>
    </w:p>
    <w:p>
      <w:pPr>
        <w:pStyle w:val="ListBullet"/>
      </w:pPr>
      <w:r>
        <w:t>Escribir como quien ya se ensució las manos con el problema, no como quien lo observa desde un informe.</w:t>
      </w:r>
    </w:p>
    <w:p>
      <w:pPr>
        <w:pStyle w:val="Heading2"/>
      </w:pPr>
      <w:r>
        <w:t>Evitar</w:t>
      </w:r>
    </w:p>
    <w:p>
      <w:pPr>
        <w:pStyle w:val="ListBullet"/>
      </w:pPr>
      <w:r>
        <w:t>Lenguaje de coaching genérico ("desbloquea tu potencial").</w:t>
      </w:r>
    </w:p>
    <w:p>
      <w:pPr>
        <w:pStyle w:val="ListBullet"/>
      </w:pPr>
      <w:r>
        <w:t>Citas espirituales explícitas.</w:t>
      </w:r>
    </w:p>
    <w:p>
      <w:pPr>
        <w:pStyle w:val="ListBullet"/>
      </w:pPr>
      <w:r>
        <w:t>Superlativos vacíos ("el mejor", "único en el mercado").</w:t>
      </w:r>
    </w:p>
    <w:p>
      <w:pPr>
        <w:pStyle w:val="ListBullet"/>
      </w:pPr>
      <w:r>
        <w:t>Tono de consultora distante (informe, diapositiva, "solución integral").</w:t>
      </w:r>
    </w:p>
    <w:p>
      <w:pPr>
        <w:pStyle w:val="Heading1"/>
      </w:pPr>
      <w:r>
        <w:t>6. Postura narrativa: el cliente es el héroe</w:t>
      </w:r>
    </w:p>
    <w:p>
      <w:pPr>
        <w:spacing w:before="40" w:after="240"/>
        <w:pBdr>
          <w:bottom w:val="single" w:sz="8" w:space="1" w:color="C8922A"/>
        </w:pBdr>
      </w:pPr>
    </w:p>
    <w:p>
      <w:r>
        <w:rPr>
          <w:b w:val="0"/>
          <w:i w:val="0"/>
        </w:rPr>
        <w:t>Referencia: el principio central de StoryBrand (storybrand.com, Donald Miller). El visitante debe ser el héroe de la historia, nunca la marca. Aplicado aquí: la organización rota es la protagonista; el Maestro Restaurador es el guía que la devuelve a su diseño original, no el protagonista.</w:t>
      </w:r>
    </w:p>
    <w:p>
      <w:pPr>
        <w:pStyle w:val="ListBullet"/>
      </w:pPr>
      <w:r>
        <w:t>El sitio y todo el material no hablan de Oscar. Hacen que el empresario se reconozca en "equipo motivado pero estructuralmente roto" antes de presentar a nadie.</w:t>
      </w:r>
    </w:p>
    <w:p>
      <w:pPr>
        <w:pStyle w:val="ListBullet"/>
      </w:pPr>
      <w:r>
        <w:t>Oscar aparece como guía con dos credenciales: empatía (ya vivió el problema, lo entiende) y autoridad (25+ años, 127 empresas, 9 países). No como héroe de su propia historia.</w:t>
      </w:r>
    </w:p>
    <w:p>
      <w:pPr>
        <w:pStyle w:val="ListBullet"/>
      </w:pPr>
      <w:r>
        <w:t>Toda pieza nueva responde, en este orden, a una pregunta del visitante: ¿me reconozco en este problema? ¿este guía entiende mi problema y tiene autoridad? ¿cuál es el plan? ¿qué pasa si actúo, y qué pasa si no? Llamado a la acción claro y único.</w:t>
      </w:r>
    </w:p>
    <w:p>
      <w:pPr>
        <w:pStyle w:val="Heading1"/>
      </w:pPr>
      <w:r>
        <w:t>7. Referencia fotográfica y de escenario</w:t>
      </w:r>
    </w:p>
    <w:p>
      <w:pPr>
        <w:spacing w:before="40" w:after="240"/>
        <w:pBdr>
          <w:bottom w:val="single" w:sz="8" w:space="1" w:color="C8922A"/>
        </w:pBdr>
      </w:pPr>
    </w:p>
    <w:p>
      <w:r>
        <w:rPr>
          <w:b w:val="0"/>
          <w:i w:val="0"/>
        </w:rPr>
        <w:t>Dirección visual para fotografía real o generada, consistente con el tono de taller. Es la expresión sensorial de la prioridad de la sección 4, no una ilustración secundaria.</w:t>
      </w:r>
    </w:p>
    <w:p>
      <w:pPr>
        <w:pStyle w:val="Heading2"/>
      </w:pPr>
      <w:r>
        <w:t>Personaje</w:t>
      </w:r>
    </w:p>
    <w:p>
      <w:r>
        <w:rPr>
          <w:b w:val="0"/>
          <w:i w:val="0"/>
        </w:rPr>
        <w:t>Hombre de mediana edad, expresión cálida y cercana, mirada directa a cámara, sin rigidez de foto corporativa. De pie, manos apoyadas sobre la mesa de trabajo, ligera inclinación hacia adelante. Actitud de maestría accesible: un artesano orgulloso de su oficio, dispuesto a explicar lo que hace, no una pose de autoridad distante.</w:t>
      </w:r>
    </w:p>
    <w:p>
      <w:pPr>
        <w:pStyle w:val="Heading2"/>
      </w:pPr>
      <w:r>
        <w:t>Indumentaria</w:t>
      </w:r>
    </w:p>
    <w:p>
      <w:pPr>
        <w:pStyle w:val="ListBullet"/>
      </w:pPr>
      <w:r>
        <w:t>Delantal de trabajo en cuero café oscuro/espresso, correas ajustables cruzadas al frente.</w:t>
      </w:r>
    </w:p>
    <w:p>
      <w:pPr>
        <w:pStyle w:val="ListBullet"/>
      </w:pPr>
      <w:r>
        <w:t>Camisa de chambray o denim azul debajo, mangas enrolladas hasta el antebrazo.</w:t>
      </w:r>
    </w:p>
    <w:p>
      <w:pPr>
        <w:pStyle w:val="ListBullet"/>
      </w:pPr>
      <w:r>
        <w:t>Pantalón oscuro, botas de cuero café. Nada de traje, nada de ropa deportiva: elegante pero en ropa de trabajo.</w:t>
      </w:r>
    </w:p>
    <w:p>
      <w:pPr>
        <w:pStyle w:val="Heading2"/>
      </w:pPr>
      <w:r>
        <w:t>Escenario</w:t>
      </w:r>
    </w:p>
    <w:p>
      <w:r>
        <w:rPr>
          <w:b w:val="0"/>
          <w:i w:val="0"/>
        </w:rPr>
        <w:t>Taller-atelier rústico-industrial. Mesa de trabajo en madera maciza. Sobre la mesa: cuaderno de cuero abierto con bocetos, planos técnicos, herramientas de precisión. Detrás, estantería de madera y metal con objetos de oficio, instrumentos científicos de bronce, cajas de viaje en cuero. Nada de ambiente moderno, sin pantallas, sin plástico visible.</w:t>
      </w:r>
    </w:p>
    <w:p>
      <w:pPr>
        <w:pStyle w:val="Heading2"/>
      </w:pPr>
      <w:r>
        <w:t>Paleta y luz</w:t>
      </w:r>
    </w:p>
    <w:p>
      <w:r>
        <w:rPr>
          <w:b w:val="0"/>
          <w:i w:val="0"/>
        </w:rPr>
        <w:t>Luz natural cálida, entrando de un lado, tono dorado suave, estilo editorial o documental, no luz de estudio plana. Colores dominantes: café cuero y cognac, azul denim/navy, dorado y bronce en acentos, toques de pátina en objetos antiguos. Conecta directo con la paleta de marca (navy, oro, naranja) sin verse genérico.</w:t>
      </w:r>
    </w:p>
    <w:p>
      <w:pPr>
        <w:pStyle w:val="Heading2"/>
      </w:pPr>
      <w:r>
        <w:t>Composición</w:t>
      </w:r>
    </w:p>
    <w:p>
      <w:r>
        <w:rPr>
          <w:b w:val="0"/>
          <w:i w:val="0"/>
        </w:rPr>
        <w:t>Plano medio o completo, sujeto centrado detrás de la mesa, cámara a la altura de los ojos. Fondo con profundidad de campo suave. Formato vertical para hero y redes, horizontal disponible para header o banners.</w:t>
      </w:r>
    </w:p>
    <w:p>
      <w:pPr>
        <w:pStyle w:val="Heading1"/>
      </w:pPr>
      <w:r>
        <w:t>8. Aplicaciones documentadas</w:t>
      </w:r>
    </w:p>
    <w:p>
      <w:pPr>
        <w:spacing w:before="40" w:after="240"/>
        <w:pBdr>
          <w:bottom w:val="single" w:sz="8" w:space="1" w:color="C8922A"/>
        </w:pBdr>
      </w:pPr>
    </w:p>
    <w:tbl>
      <w:tblPr>
        <w:tblStyle w:val="TableGrid"/>
        <w:tblW w:type="auto" w:w="0"/>
        <w:jc w:val="center"/>
        <w:tblLayout w:type="autofit"/>
        <w:tblLook w:firstColumn="1" w:firstRow="1" w:lastColumn="0" w:lastRow="0" w:noHBand="0" w:noVBand="1" w:val="04A0"/>
      </w:tblPr>
      <w:tblGrid>
        <w:gridCol w:w="4703"/>
        <w:gridCol w:w="4703"/>
      </w:tblGrid>
      <w:tr>
        <w:trPr>
          <w:cantSplit/>
        </w:trPr>
        <w:tc>
          <w:tcPr>
            <w:tcW w:type="dxa" w:w="3168"/>
            <w:shd w:val="clear" w:color="auto" w:fill="142847"/>
          </w:tcPr>
          <w:p>
            <w:r/>
            <w:r>
              <w:rPr>
                <w:b/>
                <w:color w:val="FFFFFF"/>
                <w:sz w:val="21"/>
              </w:rPr>
              <w:t>Pieza</w:t>
            </w:r>
          </w:p>
        </w:tc>
        <w:tc>
          <w:tcPr>
            <w:tcW w:type="dxa" w:w="6624"/>
            <w:shd w:val="clear" w:color="auto" w:fill="142847"/>
          </w:tcPr>
          <w:p>
            <w:r/>
            <w:r>
              <w:rPr>
                <w:b/>
                <w:color w:val="FFFFFF"/>
                <w:sz w:val="21"/>
              </w:rPr>
              <w:t>Especificación</w:t>
            </w:r>
          </w:p>
        </w:tc>
      </w:tr>
      <w:tr>
        <w:trPr>
          <w:cantSplit/>
        </w:trPr>
        <w:tc>
          <w:tcPr>
            <w:tcW w:type="dxa" w:w="3168"/>
          </w:tcPr>
          <w:p>
            <w:r/>
            <w:r>
              <w:rPr>
                <w:sz w:val="20"/>
              </w:rPr>
              <w:t>Header de sitio</w:t>
            </w:r>
          </w:p>
        </w:tc>
        <w:tc>
          <w:tcPr>
            <w:tcW w:type="dxa" w:w="6624"/>
          </w:tcPr>
          <w:p>
            <w:r/>
            <w:r>
              <w:rPr>
                <w:sz w:val="20"/>
              </w:rPr>
              <w:t>Fondo navy oscuro, wordmark versión fondo oscuro, CTA en oro con texto navy.</w:t>
            </w:r>
          </w:p>
        </w:tc>
      </w:tr>
      <w:tr>
        <w:trPr>
          <w:cantSplit/>
        </w:trPr>
        <w:tc>
          <w:tcPr>
            <w:tcW w:type="dxa" w:w="3168"/>
          </w:tcPr>
          <w:p>
            <w:r/>
            <w:r>
              <w:rPr>
                <w:sz w:val="20"/>
              </w:rPr>
              <w:t>Tarjeta de presentación</w:t>
            </w:r>
          </w:p>
        </w:tc>
        <w:tc>
          <w:tcPr>
            <w:tcW w:type="dxa" w:w="6624"/>
          </w:tcPr>
          <w:p>
            <w:r/>
            <w:r>
              <w:rPr>
                <w:sz w:val="20"/>
              </w:rPr>
              <w:t>Fondo navy, wordmark pequeño arriba, nombre y cargo en Sora/Inter debajo.</w:t>
            </w:r>
          </w:p>
        </w:tc>
      </w:tr>
      <w:tr>
        <w:trPr>
          <w:cantSplit/>
        </w:trPr>
        <w:tc>
          <w:tcPr>
            <w:tcW w:type="dxa" w:w="3168"/>
          </w:tcPr>
          <w:p>
            <w:r/>
            <w:r>
              <w:rPr>
                <w:sz w:val="20"/>
              </w:rPr>
              <w:t>Perfil de redes</w:t>
            </w:r>
          </w:p>
        </w:tc>
        <w:tc>
          <w:tcPr>
            <w:tcW w:type="dxa" w:w="6624"/>
          </w:tcPr>
          <w:p>
            <w:r/>
            <w:r>
              <w:rPr>
                <w:sz w:val="20"/>
              </w:rPr>
              <w:t>Avatar circular navy con la "r" en Sora 700 oro. Portada en degradado navy.</w:t>
            </w:r>
          </w:p>
        </w:tc>
      </w:tr>
      <w:tr>
        <w:trPr>
          <w:cantSplit/>
        </w:trPr>
        <w:tc>
          <w:tcPr>
            <w:tcW w:type="dxa" w:w="3168"/>
          </w:tcPr>
          <w:p>
            <w:r/>
            <w:r>
              <w:rPr>
                <w:sz w:val="20"/>
              </w:rPr>
              <w:t>Documento/PDF de diagnóstico</w:t>
            </w:r>
          </w:p>
        </w:tc>
        <w:tc>
          <w:tcPr>
            <w:tcW w:type="dxa" w:w="6624"/>
          </w:tcPr>
          <w:p>
            <w:r/>
            <w:r>
              <w:rPr>
                <w:sz w:val="20"/>
              </w:rPr>
              <w:t>Fondo blanco, wordmark versión fondo claro, línea separadora de 2px en oro debajo del header.</w:t>
            </w:r>
          </w:p>
        </w:tc>
      </w:tr>
      <w:tr>
        <w:trPr>
          <w:cantSplit/>
        </w:trPr>
        <w:tc>
          <w:tcPr>
            <w:tcW w:type="dxa" w:w="3168"/>
          </w:tcPr>
          <w:p>
            <w:r/>
            <w:r>
              <w:rPr>
                <w:sz w:val="20"/>
              </w:rPr>
              <w:t>Favicon</w:t>
            </w:r>
          </w:p>
        </w:tc>
        <w:tc>
          <w:tcPr>
            <w:tcW w:type="dxa" w:w="6624"/>
          </w:tcPr>
          <w:p>
            <w:r/>
            <w:r>
              <w:rPr>
                <w:sz w:val="20"/>
              </w:rPr>
              <w:t>Solo la "r", Sora 700, oro sobre navy, caja de 32-48px con esquinas redondeadas.</w:t>
            </w:r>
          </w:p>
        </w:tc>
      </w:tr>
    </w:tbl>
    <w:p/>
    <w:p>
      <w:pPr>
        <w:spacing w:before="40" w:after="240"/>
        <w:pBdr>
          <w:bottom w:val="single" w:sz="4" w:space="1" w:color="142847"/>
        </w:pBdr>
      </w:pPr>
    </w:p>
    <w:p>
      <w:pPr>
        <w:jc w:val="center"/>
      </w:pPr>
      <w:r>
        <w:rPr>
          <w:b w:val="0"/>
          <w:i/>
          <w:color w:val="555555"/>
          <w:sz w:val="19"/>
        </w:rPr>
        <w:t>Fuente: sección Marca de brief_web_restauracion.md (proyecto Restaura.do), consolidada para entrega a diseño. Wordmark, paleta y tipografía son valores finales aprobados; no modificar sin confirmar con Oscar Gelves.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2847"/>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284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D1F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