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42847"/>
          <w:sz w:val="60"/>
        </w:rPr>
        <w:t>RESTAURA</w:t>
      </w:r>
      <w:r>
        <w:rPr>
          <w:b/>
          <w:color w:val="C8922A"/>
          <w:sz w:val="60"/>
        </w:rPr>
        <w:t>.do</w:t>
      </w:r>
    </w:p>
    <w:p>
      <w:pPr>
        <w:spacing w:before="120"/>
        <w:jc w:val="center"/>
      </w:pPr>
      <w:r>
        <w:rPr>
          <w:b/>
          <w:color w:val="0D1F3C"/>
          <w:sz w:val="34"/>
        </w:rPr>
        <w:t>Mapa de posicionamiento comercial</w:t>
      </w:r>
    </w:p>
    <w:p>
      <w:pPr>
        <w:spacing w:before="80"/>
        <w:jc w:val="center"/>
      </w:pPr>
      <w:r>
        <w:rPr>
          <w:i/>
          <w:color w:val="555555"/>
          <w:sz w:val="23"/>
        </w:rPr>
        <w:t>Dónde apalancamos los seis niveles de transformación comercial, y por qué no competimos con las ocho metodologías de venta más usadas</w:t>
      </w:r>
    </w:p>
    <w:p/>
    <w:p/>
    <w:p>
      <w:pPr>
        <w:jc w:val="center"/>
      </w:pPr>
      <w:r>
        <w:rPr>
          <w:color w:val="555555"/>
          <w:sz w:val="19"/>
        </w:rPr>
        <w:t>Oscar Gelves — Maestro Restaurador · Agosto de 2026 · Documento de trabajo, uso en conversación de venta</w:t>
      </w:r>
    </w:p>
    <w:p>
      <w:r>
        <w:br w:type="page"/>
      </w:r>
    </w:p>
    <w:p>
      <w:pPr>
        <w:pStyle w:val="Heading1"/>
      </w:pPr>
      <w:r>
        <w:t>1. Por qué este documento</w:t>
      </w:r>
    </w:p>
    <w:p>
      <w:pPr>
        <w:spacing w:before="40" w:after="240"/>
        <w:pBdr>
          <w:bottom w:val="single" w:sz="8" w:space="1" w:color="C8922A"/>
        </w:pBdr>
      </w:pPr>
    </w:p>
    <w:p>
      <w:r>
        <w:rPr>
          <w:b w:val="0"/>
          <w:i w:val="0"/>
        </w:rPr>
        <w:t>Nace de dos insumos que Oscar trajo a la conversación: una tabla comparativa de las ocho metodologías de venta más sólidas del mercado (Challenger, SPIN, MEDDICC, Miller Heiman, Value Selling, RevOps, Customer Journey/CX, Lean Sales Transformation), y un mapa propio de seis niveles de transformación comercial (Estrategia, Sistema Comercial, Personas, Tecnología, Revenue Operations, Cultura Comercial). La pregunta de fondo: dónde entra Restaura.do en ese mapa, y cómo se convierte en un apalancador y no en un competidor más.</w:t>
      </w:r>
    </w:p>
    <w:p>
      <w:pPr>
        <w:pStyle w:val="Heading1"/>
      </w:pPr>
      <w:r>
        <w:t>2. Revisión del modelo de seis niveles: qué es rescatable</w:t>
      </w:r>
    </w:p>
    <w:p>
      <w:pPr>
        <w:spacing w:before="40" w:after="240"/>
        <w:pBdr>
          <w:bottom w:val="single" w:sz="8" w:space="1" w:color="C8922A"/>
        </w:pBdr>
      </w:pPr>
    </w:p>
    <w:p>
      <w:r>
        <w:rPr>
          <w:b w:val="0"/>
          <w:i w:val="0"/>
        </w:rPr>
        <w:t>El modelo es sólido y vale la pena conservarlo como mapa interno de referencia, no como alcance de entrega. Es una arquitectura completa y estándar del mercado de transformación comercial, sin errores de fondo. El riesgo no está en el modelo, está en la tentación de que Restaura.do intente entregar los seis niveles: eso diluiría exactamente la diferenciación que ya se construyó frente a las casas de estrategia y las consultoras de tecnología (ver el reporte estratégico de mercado). Rescatable como mapa de orientación. No rescatable como alcance de oferta.</w:t>
      </w:r>
    </w:p>
    <w:tbl>
      <w:tblPr>
        <w:tblStyle w:val="TableGrid"/>
        <w:tblW w:type="auto" w:w="0"/>
        <w:jc w:val="center"/>
        <w:tblLayout w:type="autofit"/>
        <w:tblLook w:firstColumn="1" w:firstRow="1" w:lastColumn="0" w:lastRow="0" w:noHBand="0" w:noVBand="1" w:val="04A0"/>
      </w:tblPr>
      <w:tblGrid>
        <w:gridCol w:w="3211"/>
        <w:gridCol w:w="3211"/>
        <w:gridCol w:w="3211"/>
      </w:tblGrid>
      <w:tr>
        <w:trPr>
          <w:cantSplit/>
        </w:trPr>
        <w:tc>
          <w:tcPr>
            <w:tcW w:type="dxa" w:w="2304"/>
            <w:shd w:val="clear" w:color="auto" w:fill="142847"/>
          </w:tcPr>
          <w:p>
            <w:r/>
            <w:r>
              <w:rPr>
                <w:b/>
                <w:color w:val="FFFFFF"/>
                <w:sz w:val="20"/>
              </w:rPr>
              <w:t>Nivel</w:t>
            </w:r>
          </w:p>
        </w:tc>
        <w:tc>
          <w:tcPr>
            <w:tcW w:type="dxa" w:w="2448"/>
            <w:shd w:val="clear" w:color="auto" w:fill="142847"/>
          </w:tcPr>
          <w:p>
            <w:r/>
            <w:r>
              <w:rPr>
                <w:b/>
                <w:color w:val="FFFFFF"/>
                <w:sz w:val="20"/>
              </w:rPr>
              <w:t>Rescatable como</w:t>
            </w:r>
          </w:p>
        </w:tc>
        <w:tc>
          <w:tcPr>
            <w:tcW w:type="dxa" w:w="4896"/>
            <w:shd w:val="clear" w:color="auto" w:fill="142847"/>
          </w:tcPr>
          <w:p>
            <w:r/>
            <w:r>
              <w:rPr>
                <w:b/>
                <w:color w:val="FFFFFF"/>
                <w:sz w:val="20"/>
              </w:rPr>
              <w:t>Nota</w:t>
            </w:r>
          </w:p>
        </w:tc>
      </w:tr>
      <w:tr>
        <w:trPr>
          <w:cantSplit/>
        </w:trPr>
        <w:tc>
          <w:tcPr>
            <w:tcW w:type="dxa" w:w="2304"/>
          </w:tcPr>
          <w:p>
            <w:r/>
            <w:r>
              <w:rPr>
                <w:sz w:val="19"/>
              </w:rPr>
              <w:t>1. Estrategia Comercial</w:t>
            </w:r>
          </w:p>
        </w:tc>
        <w:tc>
          <w:tcPr>
            <w:tcW w:type="dxa" w:w="2448"/>
          </w:tcPr>
          <w:p>
            <w:r/>
            <w:r>
              <w:rPr>
                <w:sz w:val="19"/>
              </w:rPr>
              <w:t>Mapa, no oferta</w:t>
            </w:r>
          </w:p>
        </w:tc>
        <w:tc>
          <w:tcPr>
            <w:tcW w:type="dxa" w:w="4896"/>
          </w:tcPr>
          <w:p>
            <w:r/>
            <w:r>
              <w:rPr>
                <w:sz w:val="19"/>
              </w:rPr>
              <w:t>Territorio de casas de estrategia (McKinsey, EY-Parthenon). No competir aquí.</w:t>
            </w:r>
          </w:p>
        </w:tc>
      </w:tr>
      <w:tr>
        <w:trPr>
          <w:cantSplit/>
        </w:trPr>
        <w:tc>
          <w:tcPr>
            <w:tcW w:type="dxa" w:w="2304"/>
          </w:tcPr>
          <w:p>
            <w:r/>
            <w:r>
              <w:rPr>
                <w:sz w:val="19"/>
              </w:rPr>
              <w:t>2. Sistema Comercial</w:t>
            </w:r>
          </w:p>
        </w:tc>
        <w:tc>
          <w:tcPr>
            <w:tcW w:type="dxa" w:w="2448"/>
          </w:tcPr>
          <w:p>
            <w:r/>
            <w:r>
              <w:rPr>
                <w:sz w:val="19"/>
              </w:rPr>
              <w:t>Mapa, no oferta</w:t>
            </w:r>
          </w:p>
        </w:tc>
        <w:tc>
          <w:tcPr>
            <w:tcW w:type="dxa" w:w="4896"/>
          </w:tcPr>
          <w:p>
            <w:r/>
            <w:r>
              <w:rPr>
                <w:sz w:val="19"/>
              </w:rPr>
              <w:t>Aquí viven las ocho metodologías de venta (Challenger, SPIN, MEDDICC, etc.). Restaura.do no reemplaza ninguna.</w:t>
            </w:r>
          </w:p>
        </w:tc>
      </w:tr>
      <w:tr>
        <w:trPr>
          <w:cantSplit/>
        </w:trPr>
        <w:tc>
          <w:tcPr>
            <w:tcW w:type="dxa" w:w="2304"/>
          </w:tcPr>
          <w:p>
            <w:r/>
            <w:r>
              <w:rPr>
                <w:sz w:val="19"/>
              </w:rPr>
              <w:t>3. Personas</w:t>
            </w:r>
          </w:p>
        </w:tc>
        <w:tc>
          <w:tcPr>
            <w:tcW w:type="dxa" w:w="2448"/>
          </w:tcPr>
          <w:p>
            <w:r/>
            <w:r>
              <w:rPr>
                <w:sz w:val="19"/>
              </w:rPr>
              <w:t>Territorio propio</w:t>
            </w:r>
          </w:p>
        </w:tc>
        <w:tc>
          <w:tcPr>
            <w:tcW w:type="dxa" w:w="4896"/>
          </w:tcPr>
          <w:p>
            <w:r/>
            <w:r>
              <w:rPr>
                <w:sz w:val="19"/>
              </w:rPr>
              <w:t>Tiene dos capas: la psicológica (Carácter, Motivación) y la de proceso (¿hay un sistema repetible de coaching y accountability, o depende del heroísmo individual?). Restaura.do cubre ambas, no solo la primera.</w:t>
            </w:r>
          </w:p>
        </w:tc>
      </w:tr>
      <w:tr>
        <w:trPr>
          <w:cantSplit/>
        </w:trPr>
        <w:tc>
          <w:tcPr>
            <w:tcW w:type="dxa" w:w="2304"/>
          </w:tcPr>
          <w:p>
            <w:r/>
            <w:r>
              <w:rPr>
                <w:sz w:val="19"/>
              </w:rPr>
              <w:t>4. Tecnología</w:t>
            </w:r>
          </w:p>
        </w:tc>
        <w:tc>
          <w:tcPr>
            <w:tcW w:type="dxa" w:w="2448"/>
          </w:tcPr>
          <w:p>
            <w:r/>
            <w:r>
              <w:rPr>
                <w:sz w:val="19"/>
              </w:rPr>
              <w:t>Apoyo, vía Bindpoint</w:t>
            </w:r>
          </w:p>
        </w:tc>
        <w:tc>
          <w:tcPr>
            <w:tcW w:type="dxa" w:w="4896"/>
          </w:tcPr>
          <w:p>
            <w:r/>
            <w:r>
              <w:rPr>
                <w:sz w:val="19"/>
              </w:rPr>
              <w:t>No como oferta central, como recambio concreto cuando el Diagnóstico encuentra rota la condición de Sistemas.</w:t>
            </w:r>
          </w:p>
        </w:tc>
      </w:tr>
      <w:tr>
        <w:trPr>
          <w:cantSplit/>
        </w:trPr>
        <w:tc>
          <w:tcPr>
            <w:tcW w:type="dxa" w:w="2304"/>
          </w:tcPr>
          <w:p>
            <w:r/>
            <w:r>
              <w:rPr>
                <w:sz w:val="19"/>
              </w:rPr>
              <w:t>5. Revenue Operations</w:t>
            </w:r>
          </w:p>
        </w:tc>
        <w:tc>
          <w:tcPr>
            <w:tcW w:type="dxa" w:w="2448"/>
          </w:tcPr>
          <w:p>
            <w:r/>
            <w:r>
              <w:rPr>
                <w:sz w:val="19"/>
              </w:rPr>
              <w:t>Apoyo, vía Relaciones</w:t>
            </w:r>
          </w:p>
        </w:tc>
        <w:tc>
          <w:tcPr>
            <w:tcW w:type="dxa" w:w="4896"/>
          </w:tcPr>
          <w:p>
            <w:r/>
            <w:r>
              <w:rPr>
                <w:sz w:val="19"/>
              </w:rPr>
              <w:t>El frente de Relaciones a nivel de equipo ("quién depende de esto, y de quién depende esto") es la salud de los relevos Marketing → Ventas → Implementación → Servicio → Renovación que RevOps intenta ordenar. No se compite con RevOps, se diagnostica la fricción humana detrás de esos relevos.</w:t>
            </w:r>
          </w:p>
        </w:tc>
      </w:tr>
      <w:tr>
        <w:trPr>
          <w:cantSplit/>
        </w:trPr>
        <w:tc>
          <w:tcPr>
            <w:tcW w:type="dxa" w:w="2304"/>
          </w:tcPr>
          <w:p>
            <w:r/>
            <w:r>
              <w:rPr>
                <w:sz w:val="19"/>
              </w:rPr>
              <w:t>6. Cultura Comercial</w:t>
            </w:r>
          </w:p>
        </w:tc>
        <w:tc>
          <w:tcPr>
            <w:tcW w:type="dxa" w:w="2448"/>
          </w:tcPr>
          <w:p>
            <w:r/>
            <w:r>
              <w:rPr>
                <w:sz w:val="19"/>
              </w:rPr>
              <w:t>Apoyo, vía Apropiación</w:t>
            </w:r>
          </w:p>
        </w:tc>
        <w:tc>
          <w:tcPr>
            <w:tcW w:type="dxa" w:w="4896"/>
          </w:tcPr>
          <w:p>
            <w:r/>
            <w:r>
              <w:rPr>
                <w:sz w:val="19"/>
              </w:rPr>
              <w:t>"No depender del vendedor estrella" es, en otras palabras, lo que ya hace Apropiación con Aliado y Promotor.</w:t>
            </w:r>
          </w:p>
        </w:tc>
      </w:tr>
    </w:tbl>
    <w:p>
      <w:pPr>
        <w:pStyle w:val="Heading1"/>
      </w:pPr>
      <w:r>
        <w:t>3. La lectura que faltaba: la columna de Debilidad</w:t>
      </w:r>
    </w:p>
    <w:p>
      <w:pPr>
        <w:spacing w:before="40" w:after="240"/>
        <w:pBdr>
          <w:bottom w:val="single" w:sz="8" w:space="1" w:color="C8922A"/>
        </w:pBdr>
      </w:pPr>
    </w:p>
    <w:p>
      <w:r>
        <w:rPr>
          <w:b w:val="0"/>
          <w:i w:val="0"/>
        </w:rPr>
        <w:t>La evidencia más fuerte de que Restaura.do no compite con las ocho metodologías de venta está en su propia columna de debilidades, leída con atención. Ninguna de las ocho debilidades listadas es un defecto de la metodología en sí misma.</w:t>
      </w:r>
    </w:p>
    <w:tbl>
      <w:tblPr>
        <w:tblStyle w:val="TableGrid"/>
        <w:tblW w:type="auto" w:w="0"/>
        <w:jc w:val="center"/>
        <w:tblLayout w:type="autofit"/>
        <w:tblLook w:firstColumn="1" w:firstRow="1" w:lastColumn="0" w:lastRow="0" w:noHBand="0" w:noVBand="1" w:val="04A0"/>
      </w:tblPr>
      <w:tblGrid>
        <w:gridCol w:w="3211"/>
        <w:gridCol w:w="3211"/>
        <w:gridCol w:w="3211"/>
      </w:tblGrid>
      <w:tr>
        <w:trPr>
          <w:cantSplit/>
        </w:trPr>
        <w:tc>
          <w:tcPr>
            <w:tcW w:type="dxa" w:w="2736"/>
            <w:shd w:val="clear" w:color="auto" w:fill="142847"/>
          </w:tcPr>
          <w:p>
            <w:r/>
            <w:r>
              <w:rPr>
                <w:b/>
                <w:color w:val="FFFFFF"/>
                <w:sz w:val="20"/>
              </w:rPr>
              <w:t>Metodología</w:t>
            </w:r>
          </w:p>
        </w:tc>
        <w:tc>
          <w:tcPr>
            <w:tcW w:type="dxa" w:w="3168"/>
            <w:shd w:val="clear" w:color="auto" w:fill="142847"/>
          </w:tcPr>
          <w:p>
            <w:r/>
            <w:r>
              <w:rPr>
                <w:b/>
                <w:color w:val="FFFFFF"/>
                <w:sz w:val="20"/>
              </w:rPr>
              <w:t>Debilidad declarada</w:t>
            </w:r>
          </w:p>
        </w:tc>
        <w:tc>
          <w:tcPr>
            <w:tcW w:type="dxa" w:w="3744"/>
            <w:shd w:val="clear" w:color="auto" w:fill="142847"/>
          </w:tcPr>
          <w:p>
            <w:r/>
            <w:r>
              <w:rPr>
                <w:b/>
                <w:color w:val="FFFFFF"/>
                <w:sz w:val="20"/>
              </w:rPr>
              <w:t>Es, en realidad, una condición de</w:t>
            </w:r>
          </w:p>
        </w:tc>
      </w:tr>
      <w:tr>
        <w:trPr>
          <w:cantSplit/>
        </w:trPr>
        <w:tc>
          <w:tcPr>
            <w:tcW w:type="dxa" w:w="2736"/>
          </w:tcPr>
          <w:p>
            <w:r/>
            <w:r>
              <w:rPr>
                <w:sz w:val="19"/>
              </w:rPr>
              <w:t>Challenger Sale</w:t>
            </w:r>
          </w:p>
        </w:tc>
        <w:tc>
          <w:tcPr>
            <w:tcW w:type="dxa" w:w="3168"/>
          </w:tcPr>
          <w:p>
            <w:r/>
            <w:r>
              <w:rPr>
                <w:sz w:val="19"/>
              </w:rPr>
              <w:t>Requiere vendedores maduros</w:t>
            </w:r>
          </w:p>
        </w:tc>
        <w:tc>
          <w:tcPr>
            <w:tcW w:type="dxa" w:w="3744"/>
          </w:tcPr>
          <w:p>
            <w:r/>
            <w:r>
              <w:rPr>
                <w:sz w:val="19"/>
              </w:rPr>
              <w:t>Carácter, Autoconocimiento</w:t>
            </w:r>
          </w:p>
        </w:tc>
      </w:tr>
      <w:tr>
        <w:trPr>
          <w:cantSplit/>
        </w:trPr>
        <w:tc>
          <w:tcPr>
            <w:tcW w:type="dxa" w:w="2736"/>
          </w:tcPr>
          <w:p>
            <w:r/>
            <w:r>
              <w:rPr>
                <w:sz w:val="19"/>
              </w:rPr>
              <w:t>SPIN Selling</w:t>
            </w:r>
          </w:p>
        </w:tc>
        <w:tc>
          <w:tcPr>
            <w:tcW w:type="dxa" w:w="3168"/>
          </w:tcPr>
          <w:p>
            <w:r/>
            <w:r>
              <w:rPr>
                <w:sz w:val="19"/>
              </w:rPr>
              <w:t>Débil en negociación</w:t>
            </w:r>
          </w:p>
        </w:tc>
        <w:tc>
          <w:tcPr>
            <w:tcW w:type="dxa" w:w="3744"/>
          </w:tcPr>
          <w:p>
            <w:r/>
            <w:r>
              <w:rPr>
                <w:sz w:val="19"/>
              </w:rPr>
              <w:t>Carácter</w:t>
            </w:r>
          </w:p>
        </w:tc>
      </w:tr>
      <w:tr>
        <w:trPr>
          <w:cantSplit/>
        </w:trPr>
        <w:tc>
          <w:tcPr>
            <w:tcW w:type="dxa" w:w="2736"/>
          </w:tcPr>
          <w:p>
            <w:r/>
            <w:r>
              <w:rPr>
                <w:sz w:val="19"/>
              </w:rPr>
              <w:t>MEDDICC</w:t>
            </w:r>
          </w:p>
        </w:tc>
        <w:tc>
          <w:tcPr>
            <w:tcW w:type="dxa" w:w="3168"/>
          </w:tcPr>
          <w:p>
            <w:r/>
            <w:r>
              <w:rPr>
                <w:sz w:val="19"/>
              </w:rPr>
              <w:t>Puede ser pesado para pyme</w:t>
            </w:r>
          </w:p>
        </w:tc>
        <w:tc>
          <w:tcPr>
            <w:tcW w:type="dxa" w:w="3744"/>
          </w:tcPr>
          <w:p>
            <w:r/>
            <w:r>
              <w:rPr>
                <w:sz w:val="19"/>
              </w:rPr>
              <w:t>Procesos, Sistemas</w:t>
            </w:r>
          </w:p>
        </w:tc>
      </w:tr>
      <w:tr>
        <w:trPr>
          <w:cantSplit/>
        </w:trPr>
        <w:tc>
          <w:tcPr>
            <w:tcW w:type="dxa" w:w="2736"/>
          </w:tcPr>
          <w:p>
            <w:r/>
            <w:r>
              <w:rPr>
                <w:sz w:val="19"/>
              </w:rPr>
              <w:t>Miller Heiman Strategic Selling</w:t>
            </w:r>
          </w:p>
        </w:tc>
        <w:tc>
          <w:tcPr>
            <w:tcW w:type="dxa" w:w="3168"/>
          </w:tcPr>
          <w:p>
            <w:r/>
            <w:r>
              <w:rPr>
                <w:sz w:val="19"/>
              </w:rPr>
              <w:t>Implementación larga</w:t>
            </w:r>
          </w:p>
        </w:tc>
        <w:tc>
          <w:tcPr>
            <w:tcW w:type="dxa" w:w="3744"/>
          </w:tcPr>
          <w:p>
            <w:r/>
            <w:r>
              <w:rPr>
                <w:sz w:val="19"/>
              </w:rPr>
              <w:t>Liderazgo, Cultura Comercial</w:t>
            </w:r>
          </w:p>
        </w:tc>
      </w:tr>
      <w:tr>
        <w:trPr>
          <w:cantSplit/>
        </w:trPr>
        <w:tc>
          <w:tcPr>
            <w:tcW w:type="dxa" w:w="2736"/>
          </w:tcPr>
          <w:p>
            <w:r/>
            <w:r>
              <w:rPr>
                <w:sz w:val="19"/>
              </w:rPr>
              <w:t>Value Selling Framework</w:t>
            </w:r>
          </w:p>
        </w:tc>
        <w:tc>
          <w:tcPr>
            <w:tcW w:type="dxa" w:w="3168"/>
          </w:tcPr>
          <w:p>
            <w:r/>
            <w:r>
              <w:rPr>
                <w:sz w:val="19"/>
              </w:rPr>
              <w:t>Necesita casos de éxito sólidos</w:t>
            </w:r>
          </w:p>
        </w:tc>
        <w:tc>
          <w:tcPr>
            <w:tcW w:type="dxa" w:w="3744"/>
          </w:tcPr>
          <w:p>
            <w:r/>
            <w:r>
              <w:rPr>
                <w:sz w:val="19"/>
              </w:rPr>
              <w:t>Trayectoria, Confianza</w:t>
            </w:r>
          </w:p>
        </w:tc>
      </w:tr>
      <w:tr>
        <w:trPr>
          <w:cantSplit/>
        </w:trPr>
        <w:tc>
          <w:tcPr>
            <w:tcW w:type="dxa" w:w="2736"/>
          </w:tcPr>
          <w:p>
            <w:r/>
            <w:r>
              <w:rPr>
                <w:sz w:val="19"/>
              </w:rPr>
              <w:t>Revenue Operations</w:t>
            </w:r>
          </w:p>
        </w:tc>
        <w:tc>
          <w:tcPr>
            <w:tcW w:type="dxa" w:w="3168"/>
          </w:tcPr>
          <w:p>
            <w:r/>
            <w:r>
              <w:rPr>
                <w:sz w:val="19"/>
              </w:rPr>
              <w:t>Requiere buena tecnología</w:t>
            </w:r>
          </w:p>
        </w:tc>
        <w:tc>
          <w:tcPr>
            <w:tcW w:type="dxa" w:w="3744"/>
          </w:tcPr>
          <w:p>
            <w:r/>
            <w:r>
              <w:rPr>
                <w:sz w:val="19"/>
              </w:rPr>
              <w:t>Sistemas y Tecnología</w:t>
            </w:r>
          </w:p>
        </w:tc>
      </w:tr>
      <w:tr>
        <w:trPr>
          <w:cantSplit/>
        </w:trPr>
        <w:tc>
          <w:tcPr>
            <w:tcW w:type="dxa" w:w="2736"/>
          </w:tcPr>
          <w:p>
            <w:r/>
            <w:r>
              <w:rPr>
                <w:sz w:val="19"/>
              </w:rPr>
              <w:t>Customer Journey / CX</w:t>
            </w:r>
          </w:p>
        </w:tc>
        <w:tc>
          <w:tcPr>
            <w:tcW w:type="dxa" w:w="3168"/>
          </w:tcPr>
          <w:p>
            <w:r/>
            <w:r>
              <w:rPr>
                <w:sz w:val="19"/>
              </w:rPr>
              <w:t>No reemplaza metodología comercial</w:t>
            </w:r>
          </w:p>
        </w:tc>
        <w:tc>
          <w:tcPr>
            <w:tcW w:type="dxa" w:w="3744"/>
          </w:tcPr>
          <w:p>
            <w:r/>
            <w:r>
              <w:rPr>
                <w:sz w:val="19"/>
              </w:rPr>
              <w:t>No aplica, es honesto sobre su propio límite</w:t>
            </w:r>
          </w:p>
        </w:tc>
      </w:tr>
      <w:tr>
        <w:trPr>
          <w:cantSplit/>
        </w:trPr>
        <w:tc>
          <w:tcPr>
            <w:tcW w:type="dxa" w:w="2736"/>
          </w:tcPr>
          <w:p>
            <w:r/>
            <w:r>
              <w:rPr>
                <w:sz w:val="19"/>
              </w:rPr>
              <w:t>Lean Sales Transformation</w:t>
            </w:r>
          </w:p>
        </w:tc>
        <w:tc>
          <w:tcPr>
            <w:tcW w:type="dxa" w:w="3168"/>
          </w:tcPr>
          <w:p>
            <w:r/>
            <w:r>
              <w:rPr>
                <w:sz w:val="19"/>
              </w:rPr>
              <w:t>Menos robusto para grandes corporaciones</w:t>
            </w:r>
          </w:p>
        </w:tc>
        <w:tc>
          <w:tcPr>
            <w:tcW w:type="dxa" w:w="3744"/>
          </w:tcPr>
          <w:p>
            <w:r/>
            <w:r>
              <w:rPr>
                <w:sz w:val="19"/>
              </w:rPr>
              <w:t>Procesos, Liderazgo</w:t>
            </w:r>
          </w:p>
        </w:tc>
      </w:tr>
    </w:tbl>
    <w:p>
      <w:r>
        <w:rPr>
          <w:b w:val="0"/>
          <w:i w:val="0"/>
        </w:rPr>
        <w:t>Los ocho modelos más sólidos del mercado fallan, por su propia descripción, exactamente donde mira el Diagnóstico de Restauración. Ese es el argumento, no una intuición: está en los datos que el propio mercado usa para venderse.</w:t>
      </w:r>
    </w:p>
    <w:p>
      <w:pPr>
        <w:pStyle w:val="Heading1"/>
      </w:pPr>
      <w:r>
        <w:t>4. Dónde apalancamos</w:t>
      </w:r>
    </w:p>
    <w:p>
      <w:pPr>
        <w:spacing w:before="40" w:after="240"/>
        <w:pBdr>
          <w:bottom w:val="single" w:sz="8" w:space="1" w:color="C8922A"/>
        </w:pBdr>
      </w:pPr>
    </w:p>
    <w:p>
      <w:r>
        <w:rPr>
          <w:b w:val="0"/>
          <w:i w:val="0"/>
        </w:rPr>
        <w:t>Segunda versión de esta sección, corregida después de que el propio Oscar señaló que el primer mapa era conservador: la huella real sobre los niveles 3, 5 y 6 es más profunda de lo que mostraba la primera versión.</w:t>
      </w:r>
    </w:p>
    <w:tbl>
      <w:tblPr>
        <w:tblStyle w:val="TableGrid"/>
        <w:tblW w:type="auto" w:w="0"/>
        <w:jc w:val="center"/>
        <w:tblLayout w:type="autofit"/>
        <w:tblLook w:firstColumn="1" w:firstRow="1" w:lastColumn="0" w:lastRow="0" w:noHBand="0" w:noVBand="1" w:val="04A0"/>
      </w:tblPr>
      <w:tblGrid>
        <w:gridCol w:w="4816"/>
        <w:gridCol w:w="4816"/>
      </w:tblGrid>
      <w:tr>
        <w:trPr>
          <w:cantSplit/>
        </w:trPr>
        <w:tc>
          <w:tcPr>
            <w:tcW w:type="dxa" w:w="3600"/>
            <w:shd w:val="clear" w:color="auto" w:fill="142847"/>
          </w:tcPr>
          <w:p>
            <w:r/>
            <w:r>
              <w:rPr>
                <w:b/>
                <w:color w:val="FFFFFF"/>
                <w:sz w:val="20"/>
              </w:rPr>
              <w:t>Nivel</w:t>
            </w:r>
          </w:p>
        </w:tc>
        <w:tc>
          <w:tcPr>
            <w:tcW w:type="dxa" w:w="6048"/>
            <w:shd w:val="clear" w:color="auto" w:fill="142847"/>
          </w:tcPr>
          <w:p>
            <w:r/>
            <w:r>
              <w:rPr>
                <w:b/>
                <w:color w:val="FFFFFF"/>
                <w:sz w:val="20"/>
              </w:rPr>
              <w:t>Relación con Restaura.do</w:t>
            </w:r>
          </w:p>
        </w:tc>
      </w:tr>
      <w:tr>
        <w:trPr>
          <w:cantSplit/>
        </w:trPr>
        <w:tc>
          <w:tcPr>
            <w:tcW w:type="dxa" w:w="3600"/>
          </w:tcPr>
          <w:p>
            <w:r/>
            <w:r>
              <w:rPr>
                <w:sz w:val="19"/>
              </w:rPr>
              <w:t>1. Estrategia Comercial</w:t>
            </w:r>
          </w:p>
        </w:tc>
        <w:tc>
          <w:tcPr>
            <w:tcW w:type="dxa" w:w="6048"/>
          </w:tcPr>
          <w:p>
            <w:r/>
            <w:r>
              <w:rPr>
                <w:sz w:val="19"/>
              </w:rPr>
              <w:t>Fuera de alcance</w:t>
            </w:r>
          </w:p>
        </w:tc>
      </w:tr>
      <w:tr>
        <w:trPr>
          <w:cantSplit/>
        </w:trPr>
        <w:tc>
          <w:tcPr>
            <w:tcW w:type="dxa" w:w="3600"/>
          </w:tcPr>
          <w:p>
            <w:r/>
            <w:r>
              <w:rPr>
                <w:sz w:val="19"/>
              </w:rPr>
              <w:t>2. Sistema Comercial</w:t>
            </w:r>
          </w:p>
        </w:tc>
        <w:tc>
          <w:tcPr>
            <w:tcW w:type="dxa" w:w="6048"/>
          </w:tcPr>
          <w:p>
            <w:r/>
            <w:r>
              <w:rPr>
                <w:sz w:val="19"/>
              </w:rPr>
              <w:t>Fuera de alcance (aquí viven Challenger, SPIN, MEDDICC)</w:t>
            </w:r>
          </w:p>
        </w:tc>
      </w:tr>
      <w:tr>
        <w:trPr>
          <w:cantSplit/>
        </w:trPr>
        <w:tc>
          <w:tcPr>
            <w:tcW w:type="dxa" w:w="3600"/>
          </w:tcPr>
          <w:p>
            <w:r/>
            <w:r>
              <w:rPr>
                <w:sz w:val="19"/>
              </w:rPr>
              <w:t>3. Personas</w:t>
            </w:r>
          </w:p>
        </w:tc>
        <w:tc>
          <w:tcPr>
            <w:tcW w:type="dxa" w:w="6048"/>
          </w:tcPr>
          <w:p>
            <w:r/>
            <w:r>
              <w:rPr>
                <w:sz w:val="19"/>
              </w:rPr>
              <w:t>Zona principal — apalancador, en su capa psicológica y en su capa de proceso</w:t>
            </w:r>
          </w:p>
        </w:tc>
      </w:tr>
      <w:tr>
        <w:trPr>
          <w:cantSplit/>
        </w:trPr>
        <w:tc>
          <w:tcPr>
            <w:tcW w:type="dxa" w:w="3600"/>
          </w:tcPr>
          <w:p>
            <w:r/>
            <w:r>
              <w:rPr>
                <w:sz w:val="19"/>
              </w:rPr>
              <w:t>4. Tecnología</w:t>
            </w:r>
          </w:p>
        </w:tc>
        <w:tc>
          <w:tcPr>
            <w:tcW w:type="dxa" w:w="6048"/>
          </w:tcPr>
          <w:p>
            <w:r/>
            <w:r>
              <w:rPr>
                <w:sz w:val="19"/>
              </w:rPr>
              <w:t>Apoyo — Bindpoint</w:t>
            </w:r>
          </w:p>
        </w:tc>
      </w:tr>
      <w:tr>
        <w:trPr>
          <w:cantSplit/>
        </w:trPr>
        <w:tc>
          <w:tcPr>
            <w:tcW w:type="dxa" w:w="3600"/>
          </w:tcPr>
          <w:p>
            <w:r/>
            <w:r>
              <w:rPr>
                <w:sz w:val="19"/>
              </w:rPr>
              <w:t>5. Revenue Operations</w:t>
            </w:r>
          </w:p>
        </w:tc>
        <w:tc>
          <w:tcPr>
            <w:tcW w:type="dxa" w:w="6048"/>
          </w:tcPr>
          <w:p>
            <w:r/>
            <w:r>
              <w:rPr>
                <w:sz w:val="19"/>
              </w:rPr>
              <w:t>Apoyo — vía el frente de Relaciones (salud de los relevos entre áreas)</w:t>
            </w:r>
          </w:p>
        </w:tc>
      </w:tr>
      <w:tr>
        <w:trPr>
          <w:cantSplit/>
        </w:trPr>
        <w:tc>
          <w:tcPr>
            <w:tcW w:type="dxa" w:w="3600"/>
          </w:tcPr>
          <w:p>
            <w:r/>
            <w:r>
              <w:rPr>
                <w:sz w:val="19"/>
              </w:rPr>
              <w:t>6. Cultura Comercial</w:t>
            </w:r>
          </w:p>
        </w:tc>
        <w:tc>
          <w:tcPr>
            <w:tcW w:type="dxa" w:w="6048"/>
          </w:tcPr>
          <w:p>
            <w:r/>
            <w:r>
              <w:rPr>
                <w:sz w:val="19"/>
              </w:rPr>
              <w:t>Apoyo — Apropiación (Aliado + Promotor + seguimiento a Formación y Actualización)</w:t>
            </w:r>
          </w:p>
        </w:tc>
      </w:tr>
    </w:tbl>
    <w:p>
      <w:pPr>
        <w:pStyle w:val="Heading2"/>
      </w:pPr>
      <w:r>
        <w:t>Dos adiciones de esta ronda: Compensación explícita y una quinta condición estructural</w:t>
      </w:r>
    </w:p>
    <w:p>
      <w:r>
        <w:rPr>
          <w:b w:val="0"/>
          <w:i w:val="0"/>
        </w:rPr>
        <w:t>Compensación e incentivos no es nuevo, ya vivía en la pista estructural del Diagnóstico desde antes de este documento. Lo que sí vale la pena dejar explícito es que el propio modelo de seis niveles no lo nombra en ningún lado: no está en el Nivel 1 (el pricing ahí es al cliente, no al equipo) ni en el Nivel 6. Es un vacío del mapa de seis niveles, no del modelo de Restaura.do.</w:t>
      </w:r>
    </w:p>
    <w:p>
      <w:r>
        <w:rPr>
          <w:b w:val="0"/>
          <w:i w:val="0"/>
        </w:rPr>
        <w:t>Formación y actualización sí es una adición real: se incorpora como quinta condición de la pista estructural (antes eran cuatro), a partir de una observación de campo de Oscar, que un comercial identifica rápido si el bloqueo es tecnología, soporte o falta de actualización, no solo motivación personal. A diferencia de las otras cuatro condiciones, no pregunta si algo está roto hoy, pregunta si existe un mecanismo para que no se rompa por obsolescencia mañana. Por eso toca dos niveles del mapa: el Nivel 3 como capa de proceso (¿hay un sistema repetible de actualización, o cada quien se forma por su cuenta?), y el Nivel 6 porque su sostenimiento en el tiempo se verifica dentro de la cadencia de Apropiación, junto con los compromisos de cada frente.</w:t>
      </w:r>
    </w:p>
    <w:p>
      <w:pPr>
        <w:pStyle w:val="Heading2"/>
      </w:pPr>
      <w:r>
        <w:t>La lógica del apalancador</w:t>
      </w:r>
    </w:p>
    <w:p>
      <w:r>
        <w:rPr>
          <w:b w:val="0"/>
          <w:i w:val="0"/>
        </w:rPr>
        <w:t>Los niveles 1, 2, 4 y 5 son inversión de la empresa, propia o con otro consultor. Esa inversión rinde en la medida en que el nivel 3 esté restaurado. Restaura.do no compite por ese presupuesto, lo protege: restaura la condición que determina si el dinero ya invertido, o por invertir, en estrategia, metodología de venta, tecnología o RevOps, se queda en un PDF o se convierte en resultado sostenido.</w:t>
      </w:r>
    </w:p>
    <w:p>
      <w:pPr>
        <w:pStyle w:val="Heading1"/>
      </w:pPr>
      <w:r>
        <w:t>5. Cómo usar esto en conversación de venta</w:t>
      </w:r>
    </w:p>
    <w:p>
      <w:pPr>
        <w:spacing w:before="40" w:after="240"/>
        <w:pBdr>
          <w:bottom w:val="single" w:sz="8" w:space="1" w:color="C8922A"/>
        </w:pBdr>
      </w:pPr>
    </w:p>
    <w:p>
      <w:pPr>
        <w:pStyle w:val="ListBullet"/>
      </w:pPr>
      <w:r>
        <w:t>Con un prospecto que todavía no eligió metodología: "sigue con la que elijas, Challenger, SPIN, lo que sea. Antes de invertir ahí, aseguremos que el terreno aguante."</w:t>
      </w:r>
    </w:p>
    <w:p>
      <w:pPr>
        <w:pStyle w:val="ListBullet"/>
      </w:pPr>
      <w:r>
        <w:t>Con un prospecto que ya invirtió y no le funcionó: "ya hiciste de todo, talleres, charlas, retiros, y seguiste igual. Aquí está por qué no pegó, y no fue el método."</w:t>
      </w:r>
    </w:p>
    <w:p>
      <w:pPr>
        <w:pStyle w:val="ListBullet"/>
      </w:pPr>
      <w:r>
        <w:t>Con un prospecto escéptico de la tecnología: "no vengo a venderte otro CRM. Bindpoint existe porque yo mismo viví que el CRM no alcanza, y lo construí para resolver justo eso, cuando aplica."</w:t>
      </w:r>
    </w:p>
    <w:p>
      <w:pPr>
        <w:pStyle w:val="ListBullet"/>
      </w:pPr>
      <w:r>
        <w:t>Con un prospecto centrado en cultura o retención de talento: "no depender del vendedor estrella no se logra con un scorecard nuevo. Se logra restaurando a las personas y sosteniendo el cambio con Apropiación."</w:t>
      </w:r>
    </w:p>
    <w:p/>
    <w:p>
      <w:pPr>
        <w:spacing w:before="40" w:after="240"/>
        <w:pBdr>
          <w:bottom w:val="single" w:sz="4" w:space="1" w:color="142847"/>
        </w:pBdr>
      </w:pPr>
    </w:p>
    <w:p>
      <w:pPr>
        <w:jc w:val="center"/>
      </w:pPr>
      <w:r>
        <w:rPr>
          <w:b w:val="0"/>
          <w:i/>
          <w:color w:val="555555"/>
          <w:sz w:val="19"/>
        </w:rPr>
        <w:t>Documento de trabajo, uso en conversación de venta. No reemplaza el documento de teoría completa del modelo.</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2A2A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42847"/>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42847"/>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D1F3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