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42847"/>
          <w:sz w:val="80"/>
        </w:rPr>
        <w:t>RESTAURA</w:t>
      </w:r>
      <w:r>
        <w:rPr>
          <w:rFonts w:ascii="Calibri" w:hAnsi="Calibri"/>
          <w:b/>
          <w:color w:val="C8922A"/>
          <w:sz w:val="80"/>
        </w:rPr>
        <w:t>.do</w:t>
      </w:r>
    </w:p>
    <w:p>
      <w:pPr>
        <w:spacing w:before="120"/>
        <w:jc w:val="center"/>
      </w:pPr>
      <w:r>
        <w:rPr>
          <w:b/>
          <w:color w:val="0D1F3C"/>
          <w:sz w:val="40"/>
        </w:rPr>
        <w:t>Teoría completa del modelo</w:t>
      </w:r>
    </w:p>
    <w:p>
      <w:pPr>
        <w:spacing w:before="80"/>
        <w:jc w:val="center"/>
      </w:pPr>
      <w:r>
        <w:rPr>
          <w:i/>
          <w:color w:val="555555"/>
          <w:sz w:val="25"/>
        </w:rPr>
        <w:t>Documento de fundamentación metodológica para estudio de mercado y validación</w:t>
      </w:r>
    </w:p>
    <w:p/>
    <w:p/>
    <w:p/>
    <w:p>
      <w:pPr>
        <w:jc w:val="center"/>
      </w:pPr>
      <w:r>
        <w:rPr>
          <w:i/>
          <w:color w:val="E07B39"/>
          <w:sz w:val="26"/>
        </w:rPr>
        <w:t>"Nadie necesita reinventarse. Necesita recordar."</w:t>
      </w:r>
    </w:p>
    <w:p/>
    <w:p/>
    <w:p/>
    <w:p/>
    <w:p>
      <w:pPr>
        <w:jc w:val="center"/>
      </w:pPr>
      <w:r>
        <w:rPr>
          <w:b/>
          <w:color w:val="142847"/>
          <w:sz w:val="24"/>
        </w:rPr>
        <w:t>Oscar Gelves — Maestro Restaurador</w:t>
      </w:r>
    </w:p>
    <w:p>
      <w:pPr>
        <w:jc w:val="center"/>
      </w:pPr>
      <w:r>
        <w:rPr>
          <w:color w:val="555555"/>
          <w:sz w:val="20"/>
        </w:rPr>
        <w:t>Julio de 2026 · Versión 2 · Documento interno de trabajo</w:t>
      </w:r>
    </w:p>
    <w:p>
      <w:pPr>
        <w:spacing w:before="80"/>
        <w:jc w:val="center"/>
      </w:pPr>
      <w:r>
        <w:rPr>
          <w:i/>
          <w:color w:val="555555"/>
          <w:sz w:val="18"/>
        </w:rPr>
        <w:t>v2 integra la pista estructural, el rol de Promotor y las decisiones del Reporte Estratégico de Mercado (julio 2026)</w:t>
      </w:r>
    </w:p>
    <w:p>
      <w:r>
        <w:br w:type="page"/>
      </w:r>
    </w:p>
    <w:p>
      <w:pPr>
        <w:pStyle w:val="Heading1"/>
      </w:pPr>
      <w:r>
        <w:t>1. Propósito de este documento</w:t>
      </w:r>
    </w:p>
    <w:p>
      <w:pPr>
        <w:spacing w:before="40" w:after="280"/>
        <w:pBdr>
          <w:bottom w:val="single" w:sz="8" w:space="1" w:color="C8922A"/>
        </w:pBdr>
      </w:pPr>
    </w:p>
    <w:p>
      <w:r>
        <w:rPr>
          <w:b w:val="0"/>
          <w:i w:val="0"/>
        </w:rPr>
        <w:t>Este documento consolida la teoría completa del modelo comercial y de liderazgo que sostiene a Restaura.do y su oferta El Taller. Es distinto en función del material dirigido al mercado: la copy de la página web busca persuadir a un prospecto en minutos; este documento busca sostener el modelo frente a un ejercicio de validación, sea para uso propio de Oscar Gelves, para conversación con asesores o socios potenciales, o para respaldar un estudio de mercado formal.</w:t>
      </w:r>
    </w:p>
    <w:p>
      <w:r>
        <w:rPr>
          <w:b w:val="0"/>
          <w:i w:val="0"/>
        </w:rPr>
        <w:t>El documento cubre, en orden: la filosofía del modelo, su estructura general, las cinco fases del proceso, los ocho frentes universales del Diagnóstico, las dos capas transversales que atraviesan todo el proceso, el mecanismo de Apropiación en profundidad, una comparación honesta con modelos de cambio ya establecidos en la literatura de gestión, un apartado explícito de alcance y límites, y los próximos pasos concretos de validación.</w:t>
      </w:r>
    </w:p>
    <w:p>
      <w:r>
        <w:rPr>
          <w:b w:val="0"/>
          <w:i w:val="0"/>
        </w:rPr>
        <w:t>Una nota de método antes de empezar: este documento no reemplaza el instrumento diagnóstico de 40 preguntas, que sigue en diseño y se aborda como su propio proyecto. Lo que aquí se fija es el andamiaje teórico sobre el cual ese instrumento, y toda la oferta comercial, se construyen.</w:t>
      </w:r>
    </w:p>
    <w:p>
      <w:pPr>
        <w:pStyle w:val="Heading1"/>
      </w:pPr>
      <w:r>
        <w:t>2. Filosofía del modelo</w:t>
      </w:r>
    </w:p>
    <w:p>
      <w:pPr>
        <w:spacing w:before="40" w:after="280"/>
        <w:pBdr>
          <w:bottom w:val="single" w:sz="8" w:space="1" w:color="C8922A"/>
        </w:pBdr>
      </w:pPr>
    </w:p>
    <w:p>
      <w:pPr>
        <w:pStyle w:val="Heading2"/>
      </w:pPr>
      <w:r>
        <w:t>2.1 Restauración frente a reinvención</w:t>
      </w:r>
    </w:p>
    <w:p>
      <w:r>
        <w:rPr>
          <w:b w:val="0"/>
          <w:i w:val="0"/>
        </w:rPr>
        <w:t>La premisa central del modelo es una distinción deliberada de lenguaje: no se reinventa un liderazgo, un equipo comercial o una organización; se restaura. Reinventar implica partir de cero y descartar lo que ya existe. Restaurar implica reconocer que existe un diseño original, funcional y valioso, que se ha deteriorado, se ha cubierto de ruido, o ha quedado enterrado bajo la urgencia y sistemas pobres, pero que sigue ahí, recuperable.</w:t>
      </w:r>
    </w:p>
    <w:p>
      <w:r>
        <w:rPr>
          <w:b w:val="0"/>
          <w:i w:val="0"/>
        </w:rPr>
        <w:t>Esta distinción no es solo retórica. Tiene consecuencias metodológicas directas: un proceso de reinvención empieza preguntando "¿qué deberíamos ser?"; un proceso de restauración empieza preguntando "¿qué eras antes de que esto se rompiera, y qué se necesita para devolverte ahí, con lo que has aprendido en el camino?". La segunda pregunta es menos cómoda de vender como novedad radical, pero es más honesta con cómo cambian de verdad las personas y los sistemas comerciales: casi nunca desde cero, casi siempre recuperando algo que ya funcionó y ajustándolo a lo que el presente exige.</w:t>
      </w:r>
    </w:p>
    <w:p>
      <w:pPr>
        <w:pStyle w:val="Heading2"/>
      </w:pPr>
      <w:r>
        <w:t>2.2 Frase ancla</w:t>
      </w:r>
    </w:p>
    <w:p>
      <w:pPr>
        <w:jc w:val="center"/>
      </w:pPr>
      <w:r>
        <w:rPr>
          <w:b w:val="0"/>
          <w:i/>
          <w:color w:val="0D1F3C"/>
          <w:sz w:val="25"/>
        </w:rPr>
        <w:t>"Nadie necesita reinventarse. Necesita recordar, y ser restaurado a su diseño original."</w:t>
      </w:r>
    </w:p>
    <w:p>
      <w:r>
        <w:rPr>
          <w:b w:val="0"/>
          <w:i w:val="0"/>
        </w:rPr>
        <w:t>Esta frase funciona como ancla de todo el modelo: resume la filosofía en una oración y es el criterio de coherencia contra el que se revisa cualquier pieza nueva de contenido, oferta o copy. Si una pieza de comunicación suena a "conviértete en alguien distinto", no es fiel al modelo.</w:t>
      </w:r>
    </w:p>
    <w:p>
      <w:pPr>
        <w:pStyle w:val="Heading2"/>
      </w:pPr>
      <w:r>
        <w:t>2.3 Identidad: Maestro Restaurador</w:t>
      </w:r>
    </w:p>
    <w:p>
      <w:r>
        <w:rPr>
          <w:b w:val="0"/>
          <w:i w:val="0"/>
        </w:rPr>
        <w:t>Oscar Gelves opera bajo la identidad de Maestro Restaurador, no de "arquitecto" o "estratega". La diferencia es deliberada: un arquitecto diseña desde fuera y desde arriba; un maestro restaurador trabaja con las manos, de cerca, sobre una pieza específica que ya existe. Es una postura de oficio y de cercanía, no de autoridad distante. Comunica maestría accesible: alguien orgulloso de su oficio y dispuesto a explicar lo que hace, no una figura inalcanzable.</w:t>
      </w:r>
    </w:p>
    <w:p>
      <w:pPr>
        <w:pStyle w:val="Heading2"/>
      </w:pPr>
      <w:r>
        <w:t>2.4 La anécdota de 1969: función y límite</w:t>
      </w:r>
    </w:p>
    <w:p>
      <w:r>
        <w:rPr>
          <w:b w:val="0"/>
          <w:i w:val="0"/>
        </w:rPr>
        <w:t>Oscar nació el 5 de junio de 1969, el mismo año en que un reloj mecánico acompañó al hombre a la Luna, en que nació el cronógrafo automático más sofisticado jamás construido hasta entonces, y en que el reloj de cuarzo estuvo a punto de acabar con la relojería tradicional para siempre. La industria relojera no sobrevivió esa crisis compitiendo en precisión contra una máquina; sobrevivió recordando por qué existía: artesanía, paciencia, una pieza pequeña que sostiene todo lo demás.</w:t>
      </w:r>
    </w:p>
    <w:p>
      <w:r>
        <w:rPr>
          <w:b w:val="0"/>
          <w:i w:val="0"/>
        </w:rPr>
        <w:t>Es importante fijar el rol exacto de esta historia dentro del modelo: es una anécdota personal de autoridad y origen, situada en la sección "Quién soy", y no la metáfora operativa del método. El modelo mismo (las cinco fases, los ocho frentes) usa lenguaje llano y universal, sin vocabulario de relojería ni de ningún otro oficio específico, precisamente para que aplique sin traducción a una persona, a un equipo comercial o a una organización completa. Confundir la anécdota con la metáfora fue un riesgo real detectado y corregido durante el desarrollo del modelo: dos intentos anteriores de nombrar el proceso (con lenguaje de taller mecánico primero, y de relojería después) resultaron demasiado atados a un oficio concreto y fueron descartados en favor del lenguaje genérico actual.</w:t>
      </w:r>
    </w:p>
    <w:p>
      <w:pPr>
        <w:pStyle w:val="Heading1"/>
      </w:pPr>
      <w:r>
        <w:t>3. Estructura general del modelo</w:t>
      </w:r>
    </w:p>
    <w:p>
      <w:pPr>
        <w:spacing w:before="40" w:after="280"/>
        <w:pBdr>
          <w:bottom w:val="single" w:sz="8" w:space="1" w:color="C8922A"/>
        </w:pBdr>
      </w:pPr>
    </w:p>
    <w:p>
      <w:r>
        <w:rPr>
          <w:b w:val="0"/>
          <w:i w:val="0"/>
        </w:rPr>
        <w:t>El modelo tiene tres capas que operan juntas pero responden a preguntas distintas.</w:t>
      </w:r>
    </w:p>
    <w:tbl>
      <w:tblPr>
        <w:tblStyle w:val="TableGrid"/>
        <w:tblW w:type="auto" w:w="0"/>
        <w:jc w:val="center"/>
        <w:tblLayout w:type="autofit"/>
        <w:tblLook w:firstColumn="1" w:firstRow="1" w:lastColumn="0" w:lastRow="0" w:noHBand="0" w:noVBand="1" w:val="04A0"/>
      </w:tblPr>
      <w:tblGrid>
        <w:gridCol w:w="3135"/>
        <w:gridCol w:w="3135"/>
        <w:gridCol w:w="3135"/>
      </w:tblGrid>
      <w:tr>
        <w:trPr>
          <w:cantSplit/>
        </w:trPr>
        <w:tc>
          <w:tcPr>
            <w:tcW w:type="dxa" w:w="2304"/>
            <w:shd w:val="clear" w:color="auto" w:fill="142847"/>
          </w:tcPr>
          <w:p>
            <w:r/>
            <w:r>
              <w:rPr>
                <w:b/>
                <w:color w:val="FFFFFF"/>
                <w:sz w:val="21"/>
              </w:rPr>
              <w:t>Capa</w:t>
            </w:r>
          </w:p>
        </w:tc>
        <w:tc>
          <w:tcPr>
            <w:tcW w:type="dxa" w:w="3312"/>
            <w:shd w:val="clear" w:color="auto" w:fill="142847"/>
          </w:tcPr>
          <w:p>
            <w:r/>
            <w:r>
              <w:rPr>
                <w:b/>
                <w:color w:val="FFFFFF"/>
                <w:sz w:val="21"/>
              </w:rPr>
              <w:t>Responde a</w:t>
            </w:r>
          </w:p>
        </w:tc>
        <w:tc>
          <w:tcPr>
            <w:tcW w:type="dxa" w:w="3744"/>
            <w:shd w:val="clear" w:color="auto" w:fill="142847"/>
          </w:tcPr>
          <w:p>
            <w:r/>
            <w:r>
              <w:rPr>
                <w:b/>
                <w:color w:val="FFFFFF"/>
                <w:sz w:val="21"/>
              </w:rPr>
              <w:t>Compuesta por</w:t>
            </w:r>
          </w:p>
        </w:tc>
      </w:tr>
      <w:tr>
        <w:trPr>
          <w:cantSplit/>
        </w:trPr>
        <w:tc>
          <w:tcPr>
            <w:tcW w:type="dxa" w:w="2304"/>
          </w:tcPr>
          <w:p>
            <w:r/>
            <w:r>
              <w:rPr>
                <w:sz w:val="20"/>
              </w:rPr>
              <w:t>Fases (el cómo)</w:t>
            </w:r>
          </w:p>
        </w:tc>
        <w:tc>
          <w:tcPr>
            <w:tcW w:type="dxa" w:w="3312"/>
          </w:tcPr>
          <w:p>
            <w:r/>
            <w:r>
              <w:rPr>
                <w:sz w:val="20"/>
              </w:rPr>
              <w:t>¿En qué orden se hace el trabajo?</w:t>
            </w:r>
          </w:p>
        </w:tc>
        <w:tc>
          <w:tcPr>
            <w:tcW w:type="dxa" w:w="3744"/>
          </w:tcPr>
          <w:p>
            <w:r/>
            <w:r>
              <w:rPr>
                <w:sz w:val="20"/>
              </w:rPr>
              <w:t>Diagnóstico, Desmontaje, Ensamblaje, Ajuste, Apropiación</w:t>
            </w:r>
          </w:p>
        </w:tc>
      </w:tr>
      <w:tr>
        <w:trPr>
          <w:cantSplit/>
        </w:trPr>
        <w:tc>
          <w:tcPr>
            <w:tcW w:type="dxa" w:w="2304"/>
          </w:tcPr>
          <w:p>
            <w:r/>
            <w:r>
              <w:rPr>
                <w:sz w:val="20"/>
              </w:rPr>
              <w:t>Frentes (el qué)</w:t>
            </w:r>
          </w:p>
        </w:tc>
        <w:tc>
          <w:tcPr>
            <w:tcW w:type="dxa" w:w="3312"/>
          </w:tcPr>
          <w:p>
            <w:r/>
            <w:r>
              <w:rPr>
                <w:sz w:val="20"/>
              </w:rPr>
              <w:t>¿Qué se evalúa dentro del Diagnóstico?</w:t>
            </w:r>
          </w:p>
        </w:tc>
        <w:tc>
          <w:tcPr>
            <w:tcW w:type="dxa" w:w="3744"/>
          </w:tcPr>
          <w:p>
            <w:r/>
            <w:r>
              <w:rPr>
                <w:sz w:val="20"/>
              </w:rPr>
              <w:t>Propósito, Carácter, Motivación, Autoconocimiento, Energía, Relaciones, Imagen, Trayectoria</w:t>
            </w:r>
          </w:p>
        </w:tc>
      </w:tr>
      <w:tr>
        <w:trPr>
          <w:cantSplit/>
        </w:trPr>
        <w:tc>
          <w:tcPr>
            <w:tcW w:type="dxa" w:w="2304"/>
          </w:tcPr>
          <w:p>
            <w:r/>
            <w:r>
              <w:rPr>
                <w:sz w:val="20"/>
              </w:rPr>
              <w:t>Capas transversales (el trasfondo)</w:t>
            </w:r>
          </w:p>
        </w:tc>
        <w:tc>
          <w:tcPr>
            <w:tcW w:type="dxa" w:w="3312"/>
          </w:tcPr>
          <w:p>
            <w:r/>
            <w:r>
              <w:rPr>
                <w:sz w:val="20"/>
              </w:rPr>
              <w:t>¿Qué corre por debajo de todas las fases sin ser un paso aparte?</w:t>
            </w:r>
          </w:p>
        </w:tc>
        <w:tc>
          <w:tcPr>
            <w:tcW w:type="dxa" w:w="3744"/>
          </w:tcPr>
          <w:p>
            <w:r/>
            <w:r>
              <w:rPr>
                <w:sz w:val="20"/>
              </w:rPr>
              <w:t>La Palabra (capa de fe) y Tecnología/IA (capa de sistema, vía Bindpoint)</w:t>
            </w:r>
          </w:p>
        </w:tc>
      </w:tr>
    </w:tbl>
    <w:p>
      <w:r>
        <w:rPr>
          <w:b w:val="0"/>
          <w:i w:val="0"/>
        </w:rPr>
        <w:t>Ninguna de las tres capas es opcional ni intercambiable: las fases dan la secuencia temporal, los frentes dan el contenido de lo que se diagnostica y restaura, y las capas transversales explican por qué el proceso puede llamarse coherente a través de todas las fases y no una colección de pasos inconexos.</w:t>
      </w:r>
    </w:p>
    <w:p>
      <w:pPr>
        <w:pStyle w:val="Heading1"/>
      </w:pPr>
      <w:r>
        <w:t>4. Las cinco fases del proceso</w:t>
      </w:r>
    </w:p>
    <w:p>
      <w:pPr>
        <w:spacing w:before="40" w:after="280"/>
        <w:pBdr>
          <w:bottom w:val="single" w:sz="8" w:space="1" w:color="C8922A"/>
        </w:pBdr>
      </w:pPr>
    </w:p>
    <w:p>
      <w:r>
        <w:rPr>
          <w:b w:val="0"/>
          <w:i w:val="0"/>
        </w:rPr>
        <w:t>Las cinco fases reemplazan una versión anterior de cuatro fases construida sobre la metáfora del taller mecánico (Diagnóstico, Orden de Trabajo, Puesta a Punto, Prueba de Ruta). Esa versión fue descartada por completo: el vocabulario resultaba demasiado específico de un oficio y arriesgaba tanto rechazo como atracción por novedad, un riesgo que no vale la pena correr cuando existe lenguaje más universal disponible.</w:t>
      </w:r>
    </w:p>
    <w:p>
      <w:pPr>
        <w:pStyle w:val="Heading2"/>
      </w:pPr>
      <w:r>
        <w:t>4.1 Diagnóstico</w:t>
      </w:r>
    </w:p>
    <w:p>
      <w:r>
        <w:rPr>
          <w:b w:val="0"/>
          <w:i w:val="0"/>
        </w:rPr>
        <w:t>Antes de actuar, se escucha qué está fallando. Se reconoce la señal de alerta y se verifica la causa raíz, no solo el síntoma. Esta es la fase donde se evalúan los ocho frentes universales (sección 5). Es también la fase donde el modelo está más cerca de la literatura clásica de diagnóstico organizacional: nada se prescribe antes de entender qué es real y qué es ruido.</w:t>
      </w:r>
    </w:p>
    <w:p>
      <w:pPr>
        <w:pStyle w:val="Heading2"/>
      </w:pPr>
      <w:r>
        <w:t>4.2 Desmontaje</w:t>
      </w:r>
    </w:p>
    <w:p>
      <w:r>
        <w:rPr>
          <w:b w:val="0"/>
          <w:i w:val="0"/>
        </w:rPr>
        <w:t>No todo se resuelve el mismo día ni con la misma urgencia. Cada hallazgo del Diagnóstico se clasifica en una de tres categorías: Reparación, lo urgente que no puede esperar; Recambio, lo necesario que debe sustituirse porque ya no sirve; y Mejora, lo que ya funciona bien pero puede potenciarse. Esta triage es la respuesta directa a un problema frecuente en procesos de consultoría: entregar una lista plana de hallazgos sin jerarquía, que el cliente no sabe por dónde empezar a atacar.</w:t>
      </w:r>
    </w:p>
    <w:p>
      <w:pPr>
        <w:pStyle w:val="Heading2"/>
      </w:pPr>
      <w:r>
        <w:t>4.3 Ensamblaje</w:t>
      </w:r>
    </w:p>
    <w:p>
      <w:r>
        <w:rPr>
          <w:b w:val="0"/>
          <w:i w:val="0"/>
        </w:rPr>
        <w:t>Se ejecuta lo decidido en el Desmontaje. Se reconstruye con lo reparado, lo recambiado y lo mejorado. Es la fase de mayor densidad de trabajo de campo, y la que requiere más presencia sostenida del proceso de acompañamiento, no solo del diagnóstico inicial.</w:t>
      </w:r>
    </w:p>
    <w:p>
      <w:pPr>
        <w:pStyle w:val="Heading2"/>
      </w:pPr>
      <w:r>
        <w:t>4.4 Ajuste</w:t>
      </w:r>
    </w:p>
    <w:p>
      <w:r>
        <w:rPr>
          <w:b w:val="0"/>
          <w:i w:val="0"/>
        </w:rPr>
        <w:t>Se prueba, se calibra, se repite hasta que funciona con precisión. No es una sola prueba: es un ciclo que se repite las veces que haga falta antes de dar por cerrado el trabajo de reconstrucción. Esta fase reconoce explícitamente que el primer ensamblaje casi nunca es el final correcto, y que iterar es parte del proceso, no una señal de que algo salió mal.</w:t>
      </w:r>
    </w:p>
    <w:p>
      <w:pPr>
        <w:pStyle w:val="Heading2"/>
      </w:pPr>
      <w:r>
        <w:t>4.5 Apropiación</w:t>
      </w:r>
    </w:p>
    <w:p>
      <w:r>
        <w:rPr>
          <w:b w:val="0"/>
          <w:i w:val="0"/>
        </w:rPr>
        <w:t>Salir del proceso no es el final. Esta fase es la más novedosa del modelo y la menos representada en las metodologías de consultoría convencionales, que suelen terminar en la entrega del diagnóstico o en el cierre del programa. Aquí el cambio se vuelve propio del cliente: un compromiso concreto por cada uno de los ocho frentes, una Bitácora de Apropiación con los puntajes de antes y después, y una revisión cada tres semanas con un aliado. El detalle completo está en la sección 7.</w:t>
      </w:r>
    </w:p>
    <w:tbl>
      <w:tblPr>
        <w:tblStyle w:val="TableGrid"/>
        <w:tblW w:type="auto" w:w="0"/>
        <w:jc w:val="center"/>
        <w:tblLayout w:type="autofit"/>
        <w:tblLook w:firstColumn="1" w:firstRow="1" w:lastColumn="0" w:lastRow="0" w:noHBand="0" w:noVBand="1" w:val="04A0"/>
      </w:tblPr>
      <w:tblGrid>
        <w:gridCol w:w="4703"/>
        <w:gridCol w:w="4703"/>
      </w:tblGrid>
      <w:tr>
        <w:trPr>
          <w:cantSplit/>
        </w:trPr>
        <w:tc>
          <w:tcPr>
            <w:tcW w:type="dxa" w:w="5040"/>
            <w:shd w:val="clear" w:color="auto" w:fill="142847"/>
          </w:tcPr>
          <w:p>
            <w:r/>
            <w:r>
              <w:rPr>
                <w:b/>
                <w:color w:val="FFFFFF"/>
                <w:sz w:val="21"/>
              </w:rPr>
              <w:t>Fase</w:t>
            </w:r>
          </w:p>
        </w:tc>
        <w:tc>
          <w:tcPr>
            <w:tcW w:type="dxa" w:w="5040"/>
            <w:shd w:val="clear" w:color="auto" w:fill="142847"/>
          </w:tcPr>
          <w:p>
            <w:r/>
            <w:r>
              <w:rPr>
                <w:b/>
                <w:color w:val="FFFFFF"/>
                <w:sz w:val="21"/>
              </w:rPr>
              <w:t>Se entrega en</w:t>
            </w:r>
          </w:p>
        </w:tc>
      </w:tr>
      <w:tr>
        <w:trPr>
          <w:cantSplit/>
        </w:trPr>
        <w:tc>
          <w:tcPr>
            <w:tcW w:type="dxa" w:w="5040"/>
          </w:tcPr>
          <w:p>
            <w:r/>
            <w:r>
              <w:rPr>
                <w:sz w:val="20"/>
              </w:rPr>
              <w:t>Diagnóstico + Desmontaje</w:t>
            </w:r>
          </w:p>
        </w:tc>
        <w:tc>
          <w:tcPr>
            <w:tcW w:type="dxa" w:w="5040"/>
          </w:tcPr>
          <w:p>
            <w:r/>
            <w:r>
              <w:rPr>
                <w:sz w:val="20"/>
              </w:rPr>
              <w:t>Diagnóstico Comercial (2 a 3 semanas)</w:t>
            </w:r>
          </w:p>
        </w:tc>
      </w:tr>
      <w:tr>
        <w:trPr>
          <w:cantSplit/>
        </w:trPr>
        <w:tc>
          <w:tcPr>
            <w:tcW w:type="dxa" w:w="5040"/>
          </w:tcPr>
          <w:p>
            <w:r/>
            <w:r>
              <w:rPr>
                <w:sz w:val="20"/>
              </w:rPr>
              <w:t>Ensamblaje + Ajuste + Apropiación</w:t>
            </w:r>
          </w:p>
        </w:tc>
        <w:tc>
          <w:tcPr>
            <w:tcW w:type="dxa" w:w="5040"/>
          </w:tcPr>
          <w:p>
            <w:r/>
            <w:r>
              <w:rPr>
                <w:sz w:val="20"/>
              </w:rPr>
              <w:t>Programa de Restauración a la Medida</w:t>
            </w:r>
          </w:p>
        </w:tc>
      </w:tr>
    </w:tbl>
    <w:p>
      <w:pPr>
        <w:pStyle w:val="Heading1"/>
      </w:pPr>
      <w:r>
        <w:t>5. Los ocho frentes universales del Diagnóstico</w:t>
      </w:r>
    </w:p>
    <w:p>
      <w:pPr>
        <w:spacing w:before="40" w:after="280"/>
        <w:pBdr>
          <w:bottom w:val="single" w:sz="8" w:space="1" w:color="C8922A"/>
        </w:pBdr>
      </w:pPr>
    </w:p>
    <w:p>
      <w:r>
        <w:rPr>
          <w:b w:val="0"/>
          <w:i w:val="0"/>
        </w:rPr>
        <w:t>Los ocho frentes reemplazan un intento anterior de nombrarlos como un acróstico de la palabra RESTAURA, construido primero sobre partes de vehículo y después sobre vocabulario de relojería. Ambos intentos se descartaron por la misma razón: forzar un acróstico llevaba a elegir palabras por su inicial y no por su claridad, y el vocabulario específico de un oficio limitaba qué tan universalmente aplicaba cada nombre. La decisión final fue desacoplar el nombre del instrumento (RESTAURA) del nombre de cada frente: RESTAURA sigue siendo el nombre del instrumento y de la marca, no las iniciales de los ocho frentes.</w:t>
      </w:r>
    </w:p>
    <w:tbl>
      <w:tblPr>
        <w:tblStyle w:val="TableGrid"/>
        <w:tblW w:type="auto" w:w="0"/>
        <w:jc w:val="center"/>
        <w:tblLayout w:type="autofit"/>
        <w:tblLook w:firstColumn="1" w:firstRow="1" w:lastColumn="0" w:lastRow="0" w:noHBand="0" w:noVBand="1" w:val="04A0"/>
      </w:tblPr>
      <w:tblGrid>
        <w:gridCol w:w="4703"/>
        <w:gridCol w:w="4703"/>
      </w:tblGrid>
      <w:tr>
        <w:trPr>
          <w:cantSplit/>
        </w:trPr>
        <w:tc>
          <w:tcPr>
            <w:tcW w:type="dxa" w:w="2880"/>
            <w:shd w:val="clear" w:color="auto" w:fill="142847"/>
          </w:tcPr>
          <w:p>
            <w:r/>
            <w:r>
              <w:rPr>
                <w:b/>
                <w:color w:val="FFFFFF"/>
                <w:sz w:val="21"/>
              </w:rPr>
              <w:t>Frente</w:t>
            </w:r>
          </w:p>
        </w:tc>
        <w:tc>
          <w:tcPr>
            <w:tcW w:type="dxa" w:w="6912"/>
            <w:shd w:val="clear" w:color="auto" w:fill="142847"/>
          </w:tcPr>
          <w:p>
            <w:r/>
            <w:r>
              <w:rPr>
                <w:b/>
                <w:color w:val="FFFFFF"/>
                <w:sz w:val="21"/>
              </w:rPr>
              <w:t>Qué evalúa</w:t>
            </w:r>
          </w:p>
        </w:tc>
      </w:tr>
      <w:tr>
        <w:trPr>
          <w:cantSplit/>
        </w:trPr>
        <w:tc>
          <w:tcPr>
            <w:tcW w:type="dxa" w:w="2880"/>
          </w:tcPr>
          <w:p>
            <w:r/>
            <w:r>
              <w:rPr>
                <w:sz w:val="20"/>
              </w:rPr>
              <w:t>Propósito</w:t>
            </w:r>
          </w:p>
        </w:tc>
        <w:tc>
          <w:tcPr>
            <w:tcW w:type="dxa" w:w="6912"/>
          </w:tcPr>
          <w:p>
            <w:r/>
            <w:r>
              <w:rPr>
                <w:sz w:val="20"/>
              </w:rPr>
              <w:t>Para qué existe esto, hacia dónde va.</w:t>
            </w:r>
          </w:p>
        </w:tc>
      </w:tr>
      <w:tr>
        <w:trPr>
          <w:cantSplit/>
        </w:trPr>
        <w:tc>
          <w:tcPr>
            <w:tcW w:type="dxa" w:w="2880"/>
          </w:tcPr>
          <w:p>
            <w:r/>
            <w:r>
              <w:rPr>
                <w:sz w:val="20"/>
              </w:rPr>
              <w:t>Carácter</w:t>
            </w:r>
          </w:p>
        </w:tc>
        <w:tc>
          <w:tcPr>
            <w:tcW w:type="dxa" w:w="6912"/>
          </w:tcPr>
          <w:p>
            <w:r/>
            <w:r>
              <w:rPr>
                <w:sz w:val="20"/>
              </w:rPr>
              <w:t>La base sobre la que todo lo demás se sostiene.</w:t>
            </w:r>
          </w:p>
        </w:tc>
      </w:tr>
      <w:tr>
        <w:trPr>
          <w:cantSplit/>
        </w:trPr>
        <w:tc>
          <w:tcPr>
            <w:tcW w:type="dxa" w:w="2880"/>
          </w:tcPr>
          <w:p>
            <w:r/>
            <w:r>
              <w:rPr>
                <w:sz w:val="20"/>
              </w:rPr>
              <w:t>Motivación</w:t>
            </w:r>
          </w:p>
        </w:tc>
        <w:tc>
          <w:tcPr>
            <w:tcW w:type="dxa" w:w="6912"/>
          </w:tcPr>
          <w:p>
            <w:r/>
            <w:r>
              <w:rPr>
                <w:sz w:val="20"/>
              </w:rPr>
              <w:t>Lo que lo mueve desde adentro.</w:t>
            </w:r>
          </w:p>
        </w:tc>
      </w:tr>
      <w:tr>
        <w:trPr>
          <w:cantSplit/>
        </w:trPr>
        <w:tc>
          <w:tcPr>
            <w:tcW w:type="dxa" w:w="2880"/>
          </w:tcPr>
          <w:p>
            <w:r/>
            <w:r>
              <w:rPr>
                <w:sz w:val="20"/>
              </w:rPr>
              <w:t>Autoconocimiento</w:t>
            </w:r>
          </w:p>
        </w:tc>
        <w:tc>
          <w:tcPr>
            <w:tcW w:type="dxa" w:w="6912"/>
          </w:tcPr>
          <w:p>
            <w:r/>
            <w:r>
              <w:rPr>
                <w:sz w:val="20"/>
              </w:rPr>
              <w:t>Qué tan bien se conoce a sí mismo, cuál es su estado real.</w:t>
            </w:r>
          </w:p>
        </w:tc>
      </w:tr>
      <w:tr>
        <w:trPr>
          <w:cantSplit/>
        </w:trPr>
        <w:tc>
          <w:tcPr>
            <w:tcW w:type="dxa" w:w="2880"/>
          </w:tcPr>
          <w:p>
            <w:r/>
            <w:r>
              <w:rPr>
                <w:sz w:val="20"/>
              </w:rPr>
              <w:t>Energía</w:t>
            </w:r>
          </w:p>
        </w:tc>
        <w:tc>
          <w:tcPr>
            <w:tcW w:type="dxa" w:w="6912"/>
          </w:tcPr>
          <w:p>
            <w:r/>
            <w:r>
              <w:rPr>
                <w:sz w:val="20"/>
              </w:rPr>
              <w:t>Lo que lo sostiene día a día.</w:t>
            </w:r>
          </w:p>
        </w:tc>
      </w:tr>
      <w:tr>
        <w:trPr>
          <w:cantSplit/>
        </w:trPr>
        <w:tc>
          <w:tcPr>
            <w:tcW w:type="dxa" w:w="2880"/>
          </w:tcPr>
          <w:p>
            <w:r/>
            <w:r>
              <w:rPr>
                <w:sz w:val="20"/>
              </w:rPr>
              <w:t>Relaciones</w:t>
            </w:r>
          </w:p>
        </w:tc>
        <w:tc>
          <w:tcPr>
            <w:tcW w:type="dxa" w:w="6912"/>
          </w:tcPr>
          <w:p>
            <w:r/>
            <w:r>
              <w:rPr>
                <w:sz w:val="20"/>
              </w:rPr>
              <w:t>Quién depende de esto, y de quién depende esto.</w:t>
            </w:r>
          </w:p>
        </w:tc>
      </w:tr>
      <w:tr>
        <w:trPr>
          <w:cantSplit/>
        </w:trPr>
        <w:tc>
          <w:tcPr>
            <w:tcW w:type="dxa" w:w="2880"/>
          </w:tcPr>
          <w:p>
            <w:r/>
            <w:r>
              <w:rPr>
                <w:sz w:val="20"/>
              </w:rPr>
              <w:t>Imagen</w:t>
            </w:r>
          </w:p>
        </w:tc>
        <w:tc>
          <w:tcPr>
            <w:tcW w:type="dxa" w:w="6912"/>
          </w:tcPr>
          <w:p>
            <w:r/>
            <w:r>
              <w:rPr>
                <w:sz w:val="20"/>
              </w:rPr>
              <w:t>Cómo se presenta, qué ven los demás.</w:t>
            </w:r>
          </w:p>
        </w:tc>
      </w:tr>
      <w:tr>
        <w:trPr>
          <w:cantSplit/>
        </w:trPr>
        <w:tc>
          <w:tcPr>
            <w:tcW w:type="dxa" w:w="2880"/>
          </w:tcPr>
          <w:p>
            <w:r/>
            <w:r>
              <w:rPr>
                <w:sz w:val="20"/>
              </w:rPr>
              <w:t>Trayectoria</w:t>
            </w:r>
          </w:p>
        </w:tc>
        <w:tc>
          <w:tcPr>
            <w:tcW w:type="dxa" w:w="6912"/>
          </w:tcPr>
          <w:p>
            <w:r/>
            <w:r>
              <w:rPr>
                <w:sz w:val="20"/>
              </w:rPr>
              <w:t>El camino recorrido hasta ahora, la evidencia acumulada.</w:t>
            </w:r>
          </w:p>
        </w:tc>
      </w:tr>
    </w:tbl>
    <w:p>
      <w:pPr>
        <w:pStyle w:val="Heading2"/>
      </w:pPr>
      <w:r>
        <w:t>5.1 Dos secuencias distintas, un mismo conjunto</w:t>
      </w:r>
    </w:p>
    <w:p>
      <w:r>
        <w:rPr>
          <w:b w:val="0"/>
          <w:i w:val="0"/>
        </w:rPr>
        <w:t>El modelo usa dos órdenes distintos para los mismos ocho frentes, según el contexto:</w:t>
      </w:r>
    </w:p>
    <w:p>
      <w:pPr>
        <w:pStyle w:val="ListBullet"/>
      </w:pPr>
      <w:r>
        <w:rPr>
          <w:b/>
        </w:rPr>
        <w:t xml:space="preserve">Orden narrativo: </w:t>
      </w:r>
      <w:r>
        <w:t>en todo el material público y comercial (la página web, el copy de venta), se usa el orden narrativo Propósito → Carácter → Motivación → Autoconocimiento → Energía → Relaciones → Imagen → Trayectoria, porque comunica mejor la lógica del proceso a un prospecto que lo ve por primera vez;</w:t>
      </w:r>
    </w:p>
    <w:p>
      <w:pPr>
        <w:pStyle w:val="ListBullet"/>
      </w:pPr>
      <w:r>
        <w:rPr>
          <w:b/>
        </w:rPr>
        <w:t xml:space="preserve">Orden de entrega: </w:t>
      </w:r>
      <w:r>
        <w:t>en la entrega real con un cliente, la secuencia recomendada empieza por los frentes más observables y verificables externamente, Trayectoria y Autoconocimiento, antes de abrir los frentes más vulnerables, Carácter y Propósito, que requieren más confianza ya construida con el cliente. Esta es una nota operativa interna, no reflejada en la copy pública.</w:t>
      </w:r>
    </w:p>
    <w:p>
      <w:pPr>
        <w:pStyle w:val="Heading2"/>
      </w:pPr>
      <w:r>
        <w:t>5.2 Diferenciación según el sujeto del diagnóstico</w:t>
      </w:r>
    </w:p>
    <w:p>
      <w:r>
        <w:rPr>
          <w:b w:val="0"/>
          <w:i w:val="0"/>
        </w:rPr>
        <w:t>Los ocho frentes aplican igual a una persona, a un equipo comercial o a una organización completa, pero los indicadores concretos detrás de cada frente cambian según el sujeto. El caso más importante de resolver es Autoconocimiento: evaluado en una persona, se traduce en autopercepción, honestidad interna, conciencia de fortalezas y puntos ciegos; evaluado en un equipo comercial u organización, se manifiesta como salud operativa y de proceso, higiene del CRM, visibilidad del embudo de ventas, precisión del forecast. Esta lectura resuelve una pregunta metodológica que surgió al aplicar el modelo a un contexto organizacional: dónde queda el tema de "proceso" dentro de los ocho frentes, sin necesidad de agregar un noveno frente dedicado solo a proceso u operación.</w:t>
      </w:r>
    </w:p>
    <w:p>
      <w:r>
        <w:rPr>
          <w:b w:val="0"/>
          <w:i w:val="0"/>
        </w:rPr>
        <w:t>El instrumento completo de 40 preguntas, diferenciado por tipo de sujeto (persona, equipo, organización), está en diseño y es, en sí mismo, la prueba de fondo de si este marco universal se sostiene en la práctica. Ver sección 9.</w:t>
      </w:r>
    </w:p>
    <w:p>
      <w:pPr>
        <w:pStyle w:val="Heading2"/>
      </w:pPr>
      <w:r>
        <w:t>5.3 La pista estructural (equipo y organización)</w:t>
      </w:r>
    </w:p>
    <w:p>
      <w:r>
        <w:rPr>
          <w:b w:val="0"/>
          <w:i w:val="0"/>
        </w:rPr>
        <w:t>Junto a los ocho frentes, el Diagnóstico levanta una segunda lectura, exclusiva de los sujetos de tipo equipo u organización: cinco condiciones del entorno que pueden estar rotas aunque las personas, individualmente, estén bien. Un equipo puede tener sus ocho frentes personales sanos y aun así estancarse porque el sistema que lo rodea lo sabotea.</w:t>
      </w:r>
    </w:p>
    <w:tbl>
      <w:tblPr>
        <w:tblStyle w:val="TableGrid"/>
        <w:tblW w:type="auto" w:w="0"/>
        <w:jc w:val="center"/>
        <w:tblLayout w:type="autofit"/>
        <w:tblLook w:firstColumn="1" w:firstRow="1" w:lastColumn="0" w:lastRow="0" w:noHBand="0" w:noVBand="1" w:val="04A0"/>
      </w:tblPr>
      <w:tblGrid>
        <w:gridCol w:w="4703"/>
        <w:gridCol w:w="4703"/>
      </w:tblGrid>
      <w:tr>
        <w:trPr>
          <w:cantSplit/>
        </w:trPr>
        <w:tc>
          <w:tcPr>
            <w:tcW w:type="dxa" w:w="3168"/>
            <w:shd w:val="clear" w:color="auto" w:fill="142847"/>
          </w:tcPr>
          <w:p>
            <w:r/>
            <w:r>
              <w:rPr>
                <w:b/>
                <w:color w:val="FFFFFF"/>
                <w:sz w:val="21"/>
              </w:rPr>
              <w:t>Condición</w:t>
            </w:r>
          </w:p>
        </w:tc>
        <w:tc>
          <w:tcPr>
            <w:tcW w:type="dxa" w:w="6624"/>
            <w:shd w:val="clear" w:color="auto" w:fill="142847"/>
          </w:tcPr>
          <w:p>
            <w:r/>
            <w:r>
              <w:rPr>
                <w:b/>
                <w:color w:val="FFFFFF"/>
                <w:sz w:val="21"/>
              </w:rPr>
              <w:t>Qué evalúa</w:t>
            </w:r>
          </w:p>
        </w:tc>
      </w:tr>
      <w:tr>
        <w:trPr>
          <w:cantSplit/>
        </w:trPr>
        <w:tc>
          <w:tcPr>
            <w:tcW w:type="dxa" w:w="3168"/>
          </w:tcPr>
          <w:p>
            <w:r/>
            <w:r>
              <w:rPr>
                <w:sz w:val="20"/>
              </w:rPr>
              <w:t>Procesos</w:t>
            </w:r>
          </w:p>
        </w:tc>
        <w:tc>
          <w:tcPr>
            <w:tcW w:type="dxa" w:w="6624"/>
          </w:tcPr>
          <w:p>
            <w:r/>
            <w:r>
              <w:rPr>
                <w:sz w:val="20"/>
              </w:rPr>
              <w:t>Si el trabajo depende de la memoria y el heroísmo individual o de un sistema documentado y repetible.</w:t>
            </w:r>
          </w:p>
        </w:tc>
      </w:tr>
      <w:tr>
        <w:trPr>
          <w:cantSplit/>
        </w:trPr>
        <w:tc>
          <w:tcPr>
            <w:tcW w:type="dxa" w:w="3168"/>
          </w:tcPr>
          <w:p>
            <w:r/>
            <w:r>
              <w:rPr>
                <w:sz w:val="20"/>
              </w:rPr>
              <w:t>Sistemas y tecnología</w:t>
            </w:r>
          </w:p>
        </w:tc>
        <w:tc>
          <w:tcPr>
            <w:tcW w:type="dxa" w:w="6624"/>
          </w:tcPr>
          <w:p>
            <w:r/>
            <w:r>
              <w:rPr>
                <w:sz w:val="20"/>
              </w:rPr>
              <w:t>Si las herramientas (CRM y demás) reflejan la realidad del negocio o se llenan por obligación y se ignoran después.</w:t>
            </w:r>
          </w:p>
        </w:tc>
      </w:tr>
      <w:tr>
        <w:trPr>
          <w:cantSplit/>
        </w:trPr>
        <w:tc>
          <w:tcPr>
            <w:tcW w:type="dxa" w:w="3168"/>
          </w:tcPr>
          <w:p>
            <w:r/>
            <w:r>
              <w:rPr>
                <w:sz w:val="20"/>
              </w:rPr>
              <w:t>Compensación e incentivos</w:t>
            </w:r>
          </w:p>
        </w:tc>
        <w:tc>
          <w:tcPr>
            <w:tcW w:type="dxa" w:w="6624"/>
          </w:tcPr>
          <w:p>
            <w:r/>
            <w:r>
              <w:rPr>
                <w:sz w:val="20"/>
              </w:rPr>
              <w:t>Si el esquema de pago premia el comportamiento que la organización dice querer, o premia sin querer lo contrario.</w:t>
            </w:r>
          </w:p>
        </w:tc>
      </w:tr>
      <w:tr>
        <w:trPr>
          <w:cantSplit/>
        </w:trPr>
        <w:tc>
          <w:tcPr>
            <w:tcW w:type="dxa" w:w="3168"/>
          </w:tcPr>
          <w:p>
            <w:r/>
            <w:r>
              <w:rPr>
                <w:sz w:val="20"/>
              </w:rPr>
              <w:t>Estilo de liderazgo</w:t>
            </w:r>
          </w:p>
        </w:tc>
        <w:tc>
          <w:tcPr>
            <w:tcW w:type="dxa" w:w="6624"/>
          </w:tcPr>
          <w:p>
            <w:r/>
            <w:r>
              <w:rPr>
                <w:sz w:val="20"/>
              </w:rPr>
              <w:t>Si la forma de liderar del jefe directo refuerza el cambio o lo revierte apenas el consultor sale de la sala.</w:t>
            </w:r>
          </w:p>
        </w:tc>
      </w:tr>
      <w:tr>
        <w:trPr>
          <w:cantSplit/>
        </w:trPr>
        <w:tc>
          <w:tcPr>
            <w:tcW w:type="dxa" w:w="3168"/>
          </w:tcPr>
          <w:p>
            <w:r/>
            <w:r>
              <w:rPr>
                <w:sz w:val="20"/>
              </w:rPr>
              <w:t>Formación y actualización</w:t>
            </w:r>
          </w:p>
        </w:tc>
        <w:tc>
          <w:tcPr>
            <w:tcW w:type="dxa" w:w="6624"/>
          </w:tcPr>
          <w:p>
            <w:r/>
            <w:r>
              <w:rPr>
                <w:sz w:val="20"/>
              </w:rPr>
              <w:t>Si existe un sistema repetible para que el equipo actualice conocimiento y técnica, o si cada quien se forma por su cuenta y lo aprendido se vuelve obsoleto sin que nadie lo note.</w:t>
            </w:r>
          </w:p>
        </w:tc>
      </w:tr>
    </w:tbl>
    <w:p>
      <w:r>
        <w:rPr>
          <w:b w:val="0"/>
          <w:i w:val="0"/>
        </w:rPr>
        <w:t>A diferencia de los ocho frentes, esta pista no se puntúa de 1 a 10: son condiciones del entorno, no atributos de una persona o cultura, y se registran como hallazgo cualitativo (funciona, no funciona, o a medias). Entra al proceso en el mismo punto que los ocho frentes: se levanta en Diagnóstico, se clasifica en Desmontaje junto con los hallazgos humanos (Reparación, Recambio, Mejora), y se ejecuta en Ensamblaje y Ajuste junto con el resto.</w:t>
      </w:r>
    </w:p>
    <w:p>
      <w:r>
        <w:rPr>
          <w:b w:val="0"/>
          <w:i w:val="0"/>
        </w:rPr>
        <w:t>Formación y actualización es la quinta condición, agregada después de las primeras cuatro: a diferencia de las otras, no pregunta si algo está roto hoy, pregunta si existe un mecanismo para que no se rompa por obsolescencia mañana. Por eso su ejecución no termina en Ensamblaje como las demás: se sostiene dentro de Apropiación, como parte de lo que la revisión periódica con el Aliado y el Promotor debe verificar, no solo si el compromiso inicial se cumplió, sino si el equipo se sigue actualizando.</w:t>
      </w:r>
    </w:p>
    <w:p>
      <w:r>
        <w:rPr>
          <w:b w:val="0"/>
          <w:i w:val="0"/>
        </w:rPr>
        <w:t>Compensación e incentivos y estilo de liderazgo son, según el estudio de mercado que valida esta versión del modelo, los dos diagnósticos que casi ninguna firma de la región nombra de forma explícita, y son hoy el diferenciador de método más defendible de Restaura.do frente a la consultoría de transformación cultural convencional. Por eso la pista estructural se ofrece dentro del Diagnóstico Comercial estándar cuando el sujeto es equipo u organización, y no se reserva como upsell del Programa a la Medida: esconderla diluye el diferenciador.</w:t>
      </w:r>
    </w:p>
    <w:p>
      <w:r>
        <w:rPr>
          <w:b w:val="0"/>
          <w:i w:val="0"/>
        </w:rPr>
        <w:t>Compensación e incentivos tiene un límite práctico honesto: el acceso a cifras salariales reales del cliente no está garantizado, y qué tan a fondo se puede diagnosticar esta condición sin ver esas cifras sigue siendo una pregunta abierta, pendiente de resolver en el primer caso real (ver sección 9).</w:t>
      </w:r>
    </w:p>
    <w:p>
      <w:pPr>
        <w:pStyle w:val="Heading1"/>
      </w:pPr>
      <w:r>
        <w:t>6. Capas transversales</w:t>
      </w:r>
    </w:p>
    <w:p>
      <w:pPr>
        <w:spacing w:before="40" w:after="280"/>
        <w:pBdr>
          <w:bottom w:val="single" w:sz="8" w:space="1" w:color="C8922A"/>
        </w:pBdr>
      </w:pPr>
    </w:p>
    <w:p>
      <w:r>
        <w:rPr>
          <w:b w:val="0"/>
          <w:i w:val="0"/>
        </w:rPr>
        <w:t>Dos capas atraviesan las cinco fases sin ser un paso aparte del proceso: La Palabra y Tecnología/IA. Ninguna de las dos aparece como una fase o un frente independiente; ambas viven dentro de todo lo demás.</w:t>
      </w:r>
    </w:p>
    <w:p>
      <w:pPr>
        <w:pStyle w:val="Heading2"/>
      </w:pPr>
      <w:r>
        <w:t>6.1 La Palabra: arquitectura de dos registros</w:t>
      </w:r>
    </w:p>
    <w:p>
      <w:r>
        <w:rPr>
          <w:b w:val="0"/>
          <w:i w:val="0"/>
        </w:rPr>
        <w:t>La fe es una capa transversal del método, no una fase ni un producto independiente, y opera bajo una arquitectura de dos registros de marca que se alimentan sin confundirse. El modelo mismo ya es teología de la restauración traducida a lenguaje organizacional ("volver al diseño original", "restauración", "propósito"): quien comparte la fe lo reconoce de inmediato, quien no, lo recibe como una filosofía humanista potente.</w:t>
      </w:r>
    </w:p>
    <w:tbl>
      <w:tblPr>
        <w:tblStyle w:val="TableGrid"/>
        <w:tblW w:type="auto" w:w="0"/>
        <w:jc w:val="center"/>
        <w:tblLayout w:type="autofit"/>
        <w:tblLook w:firstColumn="1" w:firstRow="1" w:lastColumn="0" w:lastRow="0" w:noHBand="0" w:noVBand="1" w:val="04A0"/>
      </w:tblPr>
      <w:tblGrid>
        <w:gridCol w:w="3135"/>
        <w:gridCol w:w="3135"/>
        <w:gridCol w:w="3135"/>
      </w:tblGrid>
      <w:tr>
        <w:trPr>
          <w:cantSplit/>
        </w:trPr>
        <w:tc>
          <w:tcPr>
            <w:tcW w:type="dxa" w:w="3024"/>
            <w:shd w:val="clear" w:color="auto" w:fill="142847"/>
          </w:tcPr>
          <w:p>
            <w:r/>
            <w:r>
              <w:rPr>
                <w:b/>
                <w:color w:val="FFFFFF"/>
                <w:sz w:val="21"/>
              </w:rPr>
              <w:t>Marca</w:t>
            </w:r>
          </w:p>
        </w:tc>
        <w:tc>
          <w:tcPr>
            <w:tcW w:type="dxa" w:w="4608"/>
            <w:shd w:val="clear" w:color="auto" w:fill="142847"/>
          </w:tcPr>
          <w:p>
            <w:r/>
            <w:r>
              <w:rPr>
                <w:b/>
                <w:color w:val="FFFFFF"/>
                <w:sz w:val="21"/>
              </w:rPr>
              <w:t>Registro</w:t>
            </w:r>
          </w:p>
        </w:tc>
        <w:tc>
          <w:tcPr>
            <w:tcW w:type="dxa" w:w="2736"/>
            <w:shd w:val="clear" w:color="auto" w:fill="142847"/>
          </w:tcPr>
          <w:p>
            <w:r/>
            <w:r>
              <w:rPr>
                <w:b/>
                <w:color w:val="FFFFFF"/>
                <w:sz w:val="21"/>
              </w:rPr>
              <w:t>Canales</w:t>
            </w:r>
          </w:p>
        </w:tc>
      </w:tr>
      <w:tr>
        <w:trPr>
          <w:cantSplit/>
        </w:trPr>
        <w:tc>
          <w:tcPr>
            <w:tcW w:type="dxa" w:w="3024"/>
          </w:tcPr>
          <w:p>
            <w:r/>
            <w:r>
              <w:rPr>
                <w:sz w:val="20"/>
              </w:rPr>
              <w:t>Oscar Gelves (marca personal)</w:t>
            </w:r>
          </w:p>
        </w:tc>
        <w:tc>
          <w:tcPr>
            <w:tcW w:type="dxa" w:w="4608"/>
          </w:tcPr>
          <w:p>
            <w:r/>
            <w:r>
              <w:rPr>
                <w:sz w:val="20"/>
              </w:rPr>
              <w:t>Ambos registros: el profesional (el modelo, casos) y el de fe explícita (principios de la Palabra aplicados al trabajo)</w:t>
            </w:r>
          </w:p>
        </w:tc>
        <w:tc>
          <w:tcPr>
            <w:tcW w:type="dxa" w:w="2736"/>
          </w:tcPr>
          <w:p>
            <w:r/>
            <w:r>
              <w:rPr>
                <w:sz w:val="20"/>
              </w:rPr>
              <w:t>YouTube como ancla, con dos series separadas: "El modelo" y "Principios". Instagram como puente</w:t>
            </w:r>
          </w:p>
        </w:tc>
      </w:tr>
      <w:tr>
        <w:trPr>
          <w:cantSplit/>
        </w:trPr>
        <w:tc>
          <w:tcPr>
            <w:tcW w:type="dxa" w:w="3024"/>
          </w:tcPr>
          <w:p>
            <w:r/>
            <w:r>
              <w:rPr>
                <w:sz w:val="20"/>
              </w:rPr>
              <w:t>Restaura.do (marca de práctica)</w:t>
            </w:r>
          </w:p>
        </w:tc>
        <w:tc>
          <w:tcPr>
            <w:tcW w:type="dxa" w:w="4608"/>
          </w:tcPr>
          <w:p>
            <w:r/>
            <w:r>
              <w:rPr>
                <w:sz w:val="20"/>
              </w:rPr>
              <w:t>Registro empresarial: la metodología, el Diagnóstico, los programas. El lenguaje de restauración y diseño original hace el trabajo sin cita explícita</w:t>
            </w:r>
          </w:p>
        </w:tc>
        <w:tc>
          <w:tcPr>
            <w:tcW w:type="dxa" w:w="2736"/>
          </w:tcPr>
          <w:p>
            <w:r/>
            <w:r>
              <w:rPr>
                <w:sz w:val="20"/>
              </w:rPr>
              <w:t>Página web, LinkedIn, materiales comerciales</w:t>
            </w:r>
          </w:p>
        </w:tc>
      </w:tr>
    </w:tbl>
    <w:p>
      <w:r>
        <w:rPr>
          <w:b w:val="0"/>
          <w:i w:val="0"/>
        </w:rPr>
        <w:t>Es el mismo camino que recorrieron referentes como John Maxwell y Patrick Lencioni: principios sin cita en el contexto corporativo, y espacios explícitos de fe en paralelo, sin que uno le reste autenticidad al otro. El comprador corporativo compra Restaura.do; la persona, si quiere ir más profundo, sigue a Oscar.</w:t>
      </w:r>
    </w:p>
    <w:p>
      <w:pPr>
        <w:pStyle w:val="Heading2"/>
      </w:pPr>
      <w:r>
        <w:t>6.2 Tecnología / IA — Bindpoint</w:t>
      </w:r>
    </w:p>
    <w:p>
      <w:r>
        <w:rPr>
          <w:b w:val="0"/>
          <w:i w:val="0"/>
        </w:rPr>
        <w:t>La tecnología, y en particular la inteligencia artificial, es la segunda capa transversal, presente en las cinco fases de forma creciente, y realizada de forma más concreta en la fase de Apropiación. Su vehículo es Bindpoint, la capa de proceso que gobierna el tramo entre un compromiso comercial y la entrega ejecutada, documentada y facturada — vive al lado del CRM, no en su lugar, y se configura como un sistema tipo SaaS de marca blanca según la necesidad de cada cliente, partiendo de que el proceso es muy similar entre empresa y empresa. Es pieza propia de la arquitectura de Restaura.do. Su origen y primera implementación real fue Nexus, la plataforma que Oscar desarrolló dentro de OmniStem (con módulos de Costeo, Plan, Connect y Centro de Acciones); Bindpoint es la evolución generalizada de esa misma línea de trabajo, pensada como base para automatizar en el futuro la Bitácora de Apropiación y el seguimiento de compromisos.</w:t>
      </w:r>
    </w:p>
    <w:p>
      <w:r>
        <w:rPr>
          <w:b w:val="0"/>
          <w:i w:val="0"/>
        </w:rPr>
        <w:t>La hoja de ruta es explícitamente de mediano plazo y en este orden: primero ajustar Bindpoint al escenario de Restaura.do sin afectar el contrato de OmniStem (la arquitectura heredada de Nexus ya soporta un segundo flujo), después usarlo internamente dentro de Restaura.do como "cliente cero", y solo después evaluar una productización como SaaS independiente para otros negocios de alto valor y bajo volumen (consultoría, ingeniería, legal, construcción, educación ejecutiva). No es una prioridad inmediata frente a la activación comercial de El Taller.</w:t>
      </w:r>
    </w:p>
    <w:p>
      <w:pPr>
        <w:pStyle w:val="Heading1"/>
      </w:pPr>
      <w:r>
        <w:t>7. Apropiación en profundidad</w:t>
      </w:r>
    </w:p>
    <w:p>
      <w:pPr>
        <w:spacing w:before="40" w:after="280"/>
        <w:pBdr>
          <w:bottom w:val="single" w:sz="8" w:space="1" w:color="C8922A"/>
        </w:pBdr>
      </w:pPr>
    </w:p>
    <w:p>
      <w:r>
        <w:rPr>
          <w:b w:val="0"/>
          <w:i w:val="0"/>
        </w:rPr>
        <w:t>Apropiación es la contribución más novedosa del modelo frente a la literatura convencional de cambio organizacional, y también su hipótesis menos probada (ver sección 9). El problema que resuelve es conocido: la mayoría de procesos de formación, consultoría o coaching fallan no en el diagnóstico ni en la ejecución, sino en el sostenimiento después de que el consultor se retira. La literatura de gestión del cambio (ver sección 8) ya identifica este punto como el más frágil, y casi siempre lo resuelve apoyándose en la jerarquía organizacional: un gerente refuerza al equipo.</w:t>
      </w:r>
    </w:p>
    <w:p>
      <w:r>
        <w:rPr>
          <w:b w:val="0"/>
          <w:i w:val="0"/>
        </w:rPr>
        <w:t>Restaura.do necesita una solución distinta porque quiere que el proceso sirva igual a una persona que se acerca sola, sin el respaldo de una organización detrás, como a un comercial individual, un miembro de un equipo sin autoridad formal, o un líder. Por eso el mecanismo de refuerzo de Apropiación se diseñó sobre un par entre iguales (un aliado), no sobre una relación jerárquica de gerente a colaborador. Esta adaptación es la que permite que el proceso se sostenga sin que Oscar, ni ningún gerente, tenga que seguir presente.</w:t>
      </w:r>
    </w:p>
    <w:p>
      <w:pPr>
        <w:pStyle w:val="Heading2"/>
      </w:pPr>
      <w:r>
        <w:t>7.1 Mecánica de Apropiación</w:t>
      </w:r>
    </w:p>
    <w:p>
      <w:pPr>
        <w:pStyle w:val="ListBullet"/>
      </w:pPr>
      <w:r>
        <w:rPr>
          <w:b/>
        </w:rPr>
        <w:t xml:space="preserve">Compromisos: </w:t>
      </w:r>
      <w:r>
        <w:t>un compromiso concreto y verificable por cada uno de los ocho frentes, ocho compromisos en total;</w:t>
      </w:r>
    </w:p>
    <w:p>
      <w:pPr>
        <w:pStyle w:val="ListBullet"/>
      </w:pPr>
      <w:r>
        <w:rPr>
          <w:b/>
        </w:rPr>
        <w:t xml:space="preserve">Bitácora de Apropiación: </w:t>
      </w:r>
      <w:r>
        <w:t>un artefacto, físico o digital, que registra los puntajes de antes y después de cada frente en una escala de 1 a 10, los ocho compromisos, y una grilla de seguimiento de doce semanas;</w:t>
      </w:r>
    </w:p>
    <w:p>
      <w:pPr>
        <w:pStyle w:val="ListBullet"/>
      </w:pPr>
      <w:r>
        <w:rPr>
          <w:b/>
        </w:rPr>
        <w:t xml:space="preserve">Revisión periódica: </w:t>
      </w:r>
      <w:r>
        <w:t>cada tres semanas, revisión de avance con un aliado elegido por el propio cliente, no un superior jerárquico, lo que hace el mecanismo viable incluso sin patrocinio organizacional.</w:t>
      </w:r>
    </w:p>
    <w:p>
      <w:pPr>
        <w:pStyle w:val="Heading2"/>
      </w:pPr>
      <w:r>
        <w:t>7.2 El Promotor</w:t>
      </w:r>
    </w:p>
    <w:p>
      <w:r>
        <w:rPr>
          <w:b w:val="0"/>
          <w:i w:val="0"/>
        </w:rPr>
        <w:t>Cuando el sujeto del Diagnóstico es un equipo o una organización, Apropiación suma un segundo reforzador junto al Aliado: el Promotor, un líder de la organización que se compromete de forma visible con la implementación. No aplica a la persona que se acerca sola, que sigue sostenida únicamente por su Aliado.</w:t>
      </w:r>
    </w:p>
    <w:p>
      <w:r>
        <w:rPr>
          <w:b w:val="0"/>
          <w:i w:val="0"/>
        </w:rPr>
        <w:t>La fundamentación viene de dos ángulos que coinciden. La investigación de gestión del cambio (Prosci, el marco detrás de ADKAR) identifica el patrocinio visible y activo de un líder como el factor individual con mayor correlación con el éxito de un cambio organizacional, por encima de la calidad de la metodología usada. La investigación de efectividad comercial coincide desde otro ángulo: el comportamiento de coaching del gerente de primera línea es el mayor amplificador del cambio individual de un vendedor.</w:t>
      </w:r>
    </w:p>
    <w:p>
      <w:r>
        <w:rPr>
          <w:b w:val="0"/>
          <w:i w:val="0"/>
        </w:rPr>
        <w:t>El Promotor no reemplaza al Aliado, se suma. El Aliado sostiene el hábito cotidiano entre pares, sin jerarquía, con revisión cada tres semanas. El Promotor sostiene la legitimidad y visibilidad del cambio desde la posición de autoridad, con una revisión de cadencia distinta, menos frecuente y más simbólica, por ejemplo al cierre de cada fase. Un patrocinador sin preparación casi siempre patrocina mal (autoriza el proceso pero no participa, o participa de una forma que contradice el mensaje), por lo que el Promotor recibe una sesión breve y específica de entrenamiento: presencia visible, lenguaje consistente con el proceso, no delegar el mensaje a otros, reconocer avances en público. Ese entrenamiento va incluido en el precio del Programa de Restauración a la Medida, como garantía de sostenimiento y no como línea de factura aparte.</w:t>
      </w:r>
    </w:p>
    <w:p>
      <w:pPr>
        <w:pStyle w:val="Heading1"/>
      </w:pPr>
      <w:r>
        <w:t>8. Fundamentación metodológica: comparación con modelos establecidos</w:t>
      </w:r>
    </w:p>
    <w:p>
      <w:pPr>
        <w:spacing w:before="40" w:after="280"/>
        <w:pBdr>
          <w:bottom w:val="single" w:sz="8" w:space="1" w:color="C8922A"/>
        </w:pBdr>
      </w:pPr>
    </w:p>
    <w:p>
      <w:r>
        <w:rPr>
          <w:b w:val="0"/>
          <w:i w:val="0"/>
        </w:rPr>
        <w:t>El modelo de Restaura.do no se construye en el vacío. Comparte estructura con al menos tres marcos ya validados en la literatura y la práctica de gestión del cambio y operación comercial. Nombrar estas coincidencias, y ser honesto sobre lo que Restaura.do toma prestado y lo que agrega, es parte de la validación seria del modelo frente a un estudio de mercado.</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rPr>
          <w:cantSplit/>
        </w:trPr>
        <w:tc>
          <w:tcPr>
            <w:tcW w:type="dxa" w:w="2016"/>
            <w:shd w:val="clear" w:color="auto" w:fill="142847"/>
          </w:tcPr>
          <w:p>
            <w:r/>
            <w:r>
              <w:rPr>
                <w:b/>
                <w:color w:val="FFFFFF"/>
                <w:sz w:val="21"/>
              </w:rPr>
              <w:t>Modelo de referencia</w:t>
            </w:r>
          </w:p>
        </w:tc>
        <w:tc>
          <w:tcPr>
            <w:tcW w:type="dxa" w:w="2736"/>
            <w:shd w:val="clear" w:color="auto" w:fill="142847"/>
          </w:tcPr>
          <w:p>
            <w:r/>
            <w:r>
              <w:rPr>
                <w:b/>
                <w:color w:val="FFFFFF"/>
                <w:sz w:val="21"/>
              </w:rPr>
              <w:t>Idea central</w:t>
            </w:r>
          </w:p>
        </w:tc>
        <w:tc>
          <w:tcPr>
            <w:tcW w:type="dxa" w:w="2880"/>
            <w:shd w:val="clear" w:color="auto" w:fill="142847"/>
          </w:tcPr>
          <w:p>
            <w:r/>
            <w:r>
              <w:rPr>
                <w:b/>
                <w:color w:val="FFFFFF"/>
                <w:sz w:val="21"/>
              </w:rPr>
              <w:t>Qué toma Restaura.do</w:t>
            </w:r>
          </w:p>
        </w:tc>
        <w:tc>
          <w:tcPr>
            <w:tcW w:type="dxa" w:w="3168"/>
            <w:shd w:val="clear" w:color="auto" w:fill="142847"/>
          </w:tcPr>
          <w:p>
            <w:r/>
            <w:r>
              <w:rPr>
                <w:b/>
                <w:color w:val="FFFFFF"/>
                <w:sz w:val="21"/>
              </w:rPr>
              <w:t>Qué agrega Restaura.do</w:t>
            </w:r>
          </w:p>
        </w:tc>
      </w:tr>
      <w:tr>
        <w:trPr>
          <w:cantSplit/>
        </w:trPr>
        <w:tc>
          <w:tcPr>
            <w:tcW w:type="dxa" w:w="2016"/>
          </w:tcPr>
          <w:p>
            <w:r/>
            <w:r>
              <w:rPr>
                <w:sz w:val="20"/>
              </w:rPr>
              <w:t>Lewin (Descongelar–Cambiar–Recongelar)</w:t>
            </w:r>
          </w:p>
        </w:tc>
        <w:tc>
          <w:tcPr>
            <w:tcW w:type="dxa" w:w="2736"/>
          </w:tcPr>
          <w:p>
            <w:r/>
            <w:r>
              <w:rPr>
                <w:sz w:val="20"/>
              </w:rPr>
              <w:t>El cambio sostenible requiere primero romper el estado actual, después mover al nuevo estado, y después fijarlo.</w:t>
            </w:r>
          </w:p>
        </w:tc>
        <w:tc>
          <w:tcPr>
            <w:tcW w:type="dxa" w:w="2880"/>
          </w:tcPr>
          <w:p>
            <w:r/>
            <w:r>
              <w:rPr>
                <w:sz w:val="20"/>
              </w:rPr>
              <w:t>La secuencia de tres momentos: Diagnóstico + Desmontaje como descongelamiento, Ensamblaje + Ajuste como el cambio en sí, Apropiación como recongelamiento.</w:t>
            </w:r>
          </w:p>
        </w:tc>
        <w:tc>
          <w:tcPr>
            <w:tcW w:type="dxa" w:w="3168"/>
          </w:tcPr>
          <w:p>
            <w:r/>
            <w:r>
              <w:rPr>
                <w:sz w:val="20"/>
              </w:rPr>
              <w:t>Un mecanismo de recongelamiento explícito y accionable (Bitácora + revisión entre pares), donde Lewin deja el "recongelar" como concepto sin mecánica operativa detallada.</w:t>
            </w:r>
          </w:p>
        </w:tc>
      </w:tr>
      <w:tr>
        <w:trPr>
          <w:cantSplit/>
        </w:trPr>
        <w:tc>
          <w:tcPr>
            <w:tcW w:type="dxa" w:w="2016"/>
          </w:tcPr>
          <w:p>
            <w:r/>
            <w:r>
              <w:rPr>
                <w:sz w:val="20"/>
              </w:rPr>
              <w:t>ADKAR (Awareness, Desire, Knowledge, Ability, Reinforcement)</w:t>
            </w:r>
          </w:p>
        </w:tc>
        <w:tc>
          <w:tcPr>
            <w:tcW w:type="dxa" w:w="2736"/>
          </w:tcPr>
          <w:p>
            <w:r/>
            <w:r>
              <w:rPr>
                <w:sz w:val="20"/>
              </w:rPr>
              <w:t>El cambio individual pasa por cinco bloques secuenciales, y el más frecuentemente descuidado es el último, Reinforcement.</w:t>
            </w:r>
          </w:p>
        </w:tc>
        <w:tc>
          <w:tcPr>
            <w:tcW w:type="dxa" w:w="2880"/>
          </w:tcPr>
          <w:p>
            <w:r/>
            <w:r>
              <w:rPr>
                <w:sz w:val="20"/>
              </w:rPr>
              <w:t>El diagnóstico de la falla más común en gestión del cambio: casi todo el trabajo se invierte en las primeras etapas y casi nada en el refuerzo.</w:t>
            </w:r>
          </w:p>
        </w:tc>
        <w:tc>
          <w:tcPr>
            <w:tcW w:type="dxa" w:w="3168"/>
          </w:tcPr>
          <w:p>
            <w:r/>
            <w:r>
              <w:rPr>
                <w:sz w:val="20"/>
              </w:rPr>
              <w:t>Un mecanismo de Reinforcement diseñado para funcionar sin la infraestructura organizacional que ADKAR típicamente asume (un gerente o sponsor institucional reforzando desde arriba); Restaura.do lo resuelve con un aliado entre pares.</w:t>
            </w:r>
          </w:p>
        </w:tc>
      </w:tr>
      <w:tr>
        <w:trPr>
          <w:cantSplit/>
        </w:trPr>
        <w:tc>
          <w:tcPr>
            <w:tcW w:type="dxa" w:w="2016"/>
          </w:tcPr>
          <w:p>
            <w:r/>
            <w:r>
              <w:rPr>
                <w:sz w:val="20"/>
              </w:rPr>
              <w:t>EOS / Traction</w:t>
            </w:r>
          </w:p>
        </w:tc>
        <w:tc>
          <w:tcPr>
            <w:tcW w:type="dxa" w:w="2736"/>
          </w:tcPr>
          <w:p>
            <w:r/>
            <w:r>
              <w:rPr>
                <w:sz w:val="20"/>
              </w:rPr>
              <w:t>Una organización necesita un sistema operativo con ritmo trimestral y componentes claros (visión, personas, datos, problemas, proceso, tracción) para ejecutar con disciplina.</w:t>
            </w:r>
          </w:p>
        </w:tc>
        <w:tc>
          <w:tcPr>
            <w:tcW w:type="dxa" w:w="2880"/>
          </w:tcPr>
          <w:p>
            <w:r/>
            <w:r>
              <w:rPr>
                <w:sz w:val="20"/>
              </w:rPr>
              <w:t>El enfoque de "sistema operativo" repetible y el valor del ritmo periódico de revisión, similar en espíritu a la revisión trimestral de EOS.</w:t>
            </w:r>
          </w:p>
        </w:tc>
        <w:tc>
          <w:tcPr>
            <w:tcW w:type="dxa" w:w="3168"/>
          </w:tcPr>
          <w:p>
            <w:r/>
            <w:r>
              <w:rPr>
                <w:sz w:val="20"/>
              </w:rPr>
              <w:t>Trabaja explícitamente la capa personal (Carácter, Propósito, Motivación) además de la capa operativa, y no exige la implementación completa de un equipo directivo: puede activarse desde un solo individuo dentro del sistema.</w:t>
            </w:r>
          </w:p>
        </w:tc>
      </w:tr>
    </w:tbl>
    <w:p>
      <w:r>
        <w:rPr>
          <w:b w:val="0"/>
          <w:i w:val="0"/>
        </w:rPr>
        <w:t>El análogo comercial más cercano en el mercado real sigue siendo EOS/Traction: comparten el lenguaje de "sistema operativo" aplicado a una organización comercial. La diferencia central es de punto de entrada y de alcance de persona: EOS necesita al equipo directivo completo implementando el sistema para funcionar bien; Restaura.do está diseñado para poder activarse desde un solo individuo, y trabaja de forma explícita la dimensión de carácter y propósito de esa persona, no solo la mecánica operativa de la organización que la rodea.</w:t>
      </w:r>
    </w:p>
    <w:p>
      <w:pPr>
        <w:pStyle w:val="Heading1"/>
      </w:pPr>
      <w:r>
        <w:t>9. Alcance y límites</w:t>
      </w:r>
    </w:p>
    <w:p>
      <w:pPr>
        <w:spacing w:before="40" w:after="280"/>
        <w:pBdr>
          <w:bottom w:val="single" w:sz="8" w:space="1" w:color="C8922A"/>
        </w:pBdr>
      </w:pPr>
    </w:p>
    <w:p>
      <w:r>
        <w:rPr>
          <w:b w:val="0"/>
          <w:i w:val="0"/>
        </w:rPr>
        <w:t>Un documento de validación seria necesita nombrar, sin adornos, lo que el modelo todavía no ha probado.</w:t>
      </w:r>
    </w:p>
    <w:p>
      <w:pPr>
        <w:pStyle w:val="ListBullet"/>
      </w:pPr>
      <w:r>
        <w:rPr>
          <w:b/>
        </w:rPr>
        <w:t xml:space="preserve">Instrumento pendiente. </w:t>
      </w:r>
      <w:r>
        <w:t>El instrumento completo de 40 preguntas, diferenciado por tipo de sujeto (persona, equipo, organización), está en diseño. Este documento fija la teoría sobre la que ese instrumento se construirá, pero no lo sustituye ni lo documenta todavía.</w:t>
      </w:r>
    </w:p>
    <w:p>
      <w:pPr>
        <w:pStyle w:val="ListBullet"/>
      </w:pPr>
      <w:r>
        <w:rPr>
          <w:b/>
        </w:rPr>
        <w:t xml:space="preserve">Apropiación sin validar en campo. </w:t>
      </w:r>
      <w:r>
        <w:t>El modelo, tal como está diseñado hoy, llega de forma confiable hasta Ajuste en un acompañamiento donde Oscar está presente y facilitando. La institucionalización del cambio sin la presencia del facilitador depende enteramente de qué tan bien funcionen Apropiación y sus dos reforzadores (Aliado y Promotor) en la práctica real, con clientes reales, no en el papel. El Promotor tiene fundamentación sólida en la literatura de patrocinio de cambio, pero dentro de este modelo específico sigue sin probarse en campo. Es la parte menos probada del modelo y su principal objetivo de validación.</w:t>
      </w:r>
    </w:p>
    <w:p>
      <w:pPr>
        <w:pStyle w:val="ListBullet"/>
      </w:pPr>
      <w:r>
        <w:rPr>
          <w:b/>
        </w:rPr>
        <w:t xml:space="preserve">Universalidad todavía no probada empíricamente. </w:t>
      </w:r>
      <w:r>
        <w:t>La afirmación de que los ocho frentes aplican "igual" a una persona, un equipo y una organización es todavía una hipótesis de diseño, no un hecho establecido. Se sostiene de forma coherente en la teoría (sección 5.2), pero requiere al menos un caso real de cada tipo de sujeto antes de poder afirmarse en público con la misma seguridad con la que se afirma en la copy comercial actual.</w:t>
      </w:r>
    </w:p>
    <w:p>
      <w:pPr>
        <w:pStyle w:val="ListBullet"/>
      </w:pPr>
      <w:r>
        <w:rPr>
          <w:b/>
        </w:rPr>
        <w:t xml:space="preserve">No sustituye intervención clínica. </w:t>
      </w:r>
      <w:r>
        <w:t>Cuando el Diagnóstico revela una situación en Carácter o Motivación que excede el alcance de un diagnóstico comercial o de liderazgo, por ejemplo una señal de salud mental que requiere atención clínica, el modelo no sustituye una intervención psicológica o clínica licenciada. Falta definir un protocolo explícito de derivación para ese escenario.</w:t>
      </w:r>
    </w:p>
    <w:p>
      <w:pPr>
        <w:pStyle w:val="ListBullet"/>
      </w:pPr>
      <w:r>
        <w:rPr>
          <w:b/>
        </w:rPr>
        <w:t xml:space="preserve">Lenguaje de cliente aún no validado. </w:t>
      </w:r>
      <w:r>
        <w:t>Las cuatro frases del bloque de empatía en la copy comercial, y varias de las preguntas frecuentes, están redactadas a partir de la experiencia de Oscar, pero todavía no de lenguaje literal capturado de clientes reales en el momento exacto de su dolor. Esto se resuelve en campo, no en el escritorio.</w:t>
      </w:r>
    </w:p>
    <w:p>
      <w:pPr>
        <w:pStyle w:val="Heading1"/>
      </w:pPr>
      <w:r>
        <w:t>10. Próximos pasos de validación</w:t>
      </w:r>
    </w:p>
    <w:p>
      <w:pPr>
        <w:spacing w:before="40" w:after="280"/>
        <w:pBdr>
          <w:bottom w:val="single" w:sz="8" w:space="1" w:color="C8922A"/>
        </w:pBdr>
      </w:pPr>
    </w:p>
    <w:p>
      <w:r>
        <w:rPr>
          <w:b w:val="0"/>
          <w:i w:val="0"/>
        </w:rPr>
        <w:t>En línea con el principio de no sobre-preparar y de vender antes de seguir construyendo sistema, los próximos pasos de validación se apoyan en clientes reales y pagos, no en investigación adicional de escritorio.</w:t>
      </w:r>
    </w:p>
    <w:p>
      <w:pPr>
        <w:pStyle w:val="ListBullet"/>
      </w:pPr>
      <w:r>
        <w:rPr>
          <w:b/>
        </w:rPr>
        <w:t xml:space="preserve">1. Pilotar el Diagnóstico Comercial. </w:t>
      </w:r>
      <w:r>
        <w:t>Con al menos dos o tres clientes pagos, y de ser posible con al menos un caso de cada tipo de sujeto (una persona individual, un equipo comercial, una organización), antes de ampliar cualquier afirmación pública sobre universalidad.</w:t>
      </w:r>
    </w:p>
    <w:p>
      <w:pPr>
        <w:pStyle w:val="ListBullet"/>
      </w:pPr>
      <w:r>
        <w:rPr>
          <w:b/>
        </w:rPr>
        <w:t xml:space="preserve">2. Producir el primer dato real de antes/después. </w:t>
      </w:r>
      <w:r>
        <w:t>Registrar el puntaje de 1 a 10 de los ocho frentes antes del Diagnóstico y de nuevo después de Ajuste, para producir el primer conjunto real de datos de antes y después, hoy inexistente.</w:t>
      </w:r>
    </w:p>
    <w:p>
      <w:pPr>
        <w:pStyle w:val="ListBullet"/>
      </w:pPr>
      <w:r>
        <w:rPr>
          <w:b/>
        </w:rPr>
        <w:t xml:space="preserve">3. Probar Apropiación en un ciclo completo. </w:t>
      </w:r>
      <w:r>
        <w:t>Con al menos un cliente piloto, completar un ciclo completo de doce semanas de Apropiación para probar si el mecanismo de revisión entre pares sostiene el cambio sin la presencia de Oscar, que es la hipótesis central de esta fase.</w:t>
      </w:r>
    </w:p>
    <w:p>
      <w:pPr>
        <w:pStyle w:val="ListBullet"/>
      </w:pPr>
      <w:r>
        <w:rPr>
          <w:b/>
        </w:rPr>
        <w:t xml:space="preserve">4. Capturar lenguaje real de cliente. </w:t>
      </w:r>
      <w:r>
        <w:t>Durante las conversaciones de diagnóstico y las entrevistas del bloque de empatía, capturar el lenguaje literal de los clientes para reemplazar las cuatro frases placeholder actuales de la copy comercial por lenguaje validado.</w:t>
      </w:r>
    </w:p>
    <w:p>
      <w:pPr>
        <w:pStyle w:val="ListBullet"/>
      </w:pPr>
      <w:r>
        <w:rPr>
          <w:b/>
        </w:rPr>
        <w:t xml:space="preserve">5. Diferir el diseño del instrumento de 40 preguntas. </w:t>
      </w:r>
      <w:r>
        <w:t>Diseñar el instrumento completo de 40 preguntas después de entregar el primer Diagnóstico Comercial real, para que las preguntas se ajusten a un caso concreto en vez de diseñarse en abstracto.</w:t>
      </w:r>
    </w:p>
    <w:p>
      <w:pPr>
        <w:pStyle w:val="ListBullet"/>
      </w:pPr>
      <w:r>
        <w:rPr>
          <w:b/>
        </w:rPr>
        <w:t xml:space="preserve">6. Confirmar permiso de marca de clientes de referencia. </w:t>
      </w:r>
      <w:r>
        <w:t>Confirmar el permiso de marca de cada empresa mencionada como referencia antes de mostrar cualquier logo; mientras tanto, mantener el tratamiento de texto plano ya definido para la sección "Quién soy" del sitio.</w:t>
      </w:r>
    </w:p>
    <w:p>
      <w:pPr>
        <w:pStyle w:val="ListBullet"/>
      </w:pPr>
      <w:r>
        <w:rPr>
          <w:b/>
        </w:rPr>
        <w:t xml:space="preserve">7. Certificación Prosci como siguiente paso de fondo. </w:t>
      </w:r>
      <w:r>
        <w:t>Completar la Certificación en Gestión del Cambio de Prosci (modelo ADKAR), prioridad número uno de formación: legitima el rol de Promotor frente a compradores enterprise y aporta instrumentos reales (PCT Assessment, evaluación ADKAR) que hoy el Diagnóstico y Apropiación no tienen, más allá del razonamiento cualitativo desarrollado en este documento.</w:t>
      </w:r>
    </w:p>
    <w:p/>
    <w:p>
      <w:pPr>
        <w:spacing w:before="40" w:after="280"/>
        <w:pBdr>
          <w:bottom w:val="single" w:sz="4" w:space="1" w:color="142847"/>
        </w:pBdr>
      </w:pPr>
    </w:p>
    <w:p>
      <w:pPr>
        <w:jc w:val="center"/>
      </w:pPr>
      <w:r>
        <w:rPr>
          <w:b w:val="0"/>
          <w:i/>
          <w:color w:val="555555"/>
          <w:sz w:val="19"/>
        </w:rPr>
        <w:t>Documento vivo: se actualiza a medida que el modelo se valide en campo con clientes reales.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A2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42847"/>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42847"/>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D1F3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