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用例二：应用长时间运行评测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t>2.8</w:t>
      </w:r>
      <w:r>
        <w:tab/>
      </w:r>
      <w:r>
        <w:t>命题目标逐条对照</w:t>
      </w:r>
      <w:r>
        <w:tab/>
      </w:r>
      <w:r>
        <w:t>20</w:t>
      </w:r>
    </w:p>
    <w:p w14:paraId="7087971C">
      <w:pPr>
        <w:pStyle w:val="29"/>
        <w:rPr>
          <w:rFonts w:hint="eastAsia" w:asciiTheme="minorHAnsi" w:hAnsiTheme="minorHAnsi" w:eastAsiaTheme="minorEastAsia" w:cstheme="minorBidi"/>
          <w:kern w:val="2"/>
          <w:sz w:val="22"/>
          <w:szCs w:val="24"/>
          <w14:ligatures w14:val="standardContextual"/>
        </w:rPr>
      </w:pPr>
      <w:r>
        <w:t>2.9</w:t>
      </w:r>
      <w:r>
        <w:tab/>
      </w:r>
      <w:r>
        <w:t>接口描述</w:t>
      </w:r>
      <w:r>
        <w:tab/>
      </w:r>
      <w:r>
        <w:t>20</w:t>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lightRig w14:rig="threePt" w14:dir="t">
              <w14:rot w14:lat="0" w14:lon="0" w14:rev="0"/>
            </w14:lightRig>
          </w14:scene3d>
        </w:rPr>
        <w:t>2.9.1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lightRig w14:rig="threePt" w14:dir="t">
              <w14:rot w14:lat="0" w14:lon="0" w14:rev="0"/>
            </w14:lightRig>
          </w14:scene3d>
        </w:rPr>
        <w:t>2.9.2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t>2.10</w:t>
      </w:r>
      <w:r>
        <w:tab/>
      </w:r>
      <w:r>
        <w:t>UI设计</w:t>
      </w:r>
      <w:r>
        <w:tab/>
      </w:r>
      <w:r>
        <w:t>21</w:t>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p>
    <w:p w14:paraId="32D11B13">
      <w:pPr>
        <w:pStyle w:val="2"/>
        <w:keepNext/>
        <w:rPr>
          <w:rFonts w:hint="eastAsia" w:ascii="宋体" w:hAnsi="宋体" w:eastAsia="宋体"/>
        </w:rPr>
      </w:pPr>
      <w:bookmarkStart w:id="2" w:name="_Toc369273176"/>
      <w:bookmarkStart w:id="3" w:name="_Toc244203737"/>
      <w:bookmarkStart w:id="4" w:name="_Toc369273805"/>
      <w:bookmarkStart w:id="5" w:name="_Toc147738847"/>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244203738"/>
      <w:bookmarkStart w:id="8" w:name="_Toc369273178"/>
      <w:bookmarkStart w:id="9" w:name="_Toc369273807"/>
      <w:bookmarkStart w:id="10" w:name="_Toc369273261"/>
      <w:bookmarkStart w:id="11" w:name="_Toc147738848"/>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在 OpenHarmony 北向应用生态建设中，应用质量验证直接影响用户体验与生态成熟度。应用伙伴在开发与测试中，需要针对复杂页面、核心业务流程、异常问题复现、压力测试和探索性测试编写大量 UI 自动化测试脚本，脚本编写依赖人工理解页面结构、业务流程与控件交互逻辑。随着多模态模型能力的发展，通过应用截图、界面布局、控件树、日志与用户描述等多源信息感知应用当前状态，自动探索核心场景并生成可复用的 UI 测试用例脚本，成为降低自动化门槛的可行路径。</w:t>
      </w:r>
    </w:p>
    <w:p w14:paraId="7236A1FE">
      <w:pPr>
        <w:pStyle w:val="13"/>
        <w:spacing w:line="360" w:lineRule="auto"/>
        <w:ind w:firstLine="480" w:firstLineChars="200"/>
        <w:jc w:val="both"/>
        <w:rPr>
          <w:sz w:val="24"/>
        </w:rPr>
      </w:pPr>
      <w:r>
        <w:rPr>
          <w:sz w:val="24"/>
        </w:rPr>
        <w:t>从本项目的实测与实现看，传统脚本方式在以下三方面制约明显。</w:t>
      </w:r>
    </w:p>
    <w:p w14:paraId="34F18AEE">
      <w:pPr>
        <w:pStyle w:val="13"/>
        <w:spacing w:line="360" w:lineRule="auto"/>
        <w:ind w:firstLine="480" w:firstLineChars="200"/>
        <w:jc w:val="both"/>
        <w:rPr>
          <w:sz w:val="24"/>
        </w:rPr>
      </w:pPr>
      <w:r>
        <w:rPr>
          <w:sz w:val="24"/>
        </w:rPr>
        <w:t>第一，人工耗时耗力。复杂页面、核心流程、异常复现、压力测试与探索性测试都需要人工逐页理解界面、逐条编写脚本。控件定位是其中最耗工的一环：在本项目采集的 1648 个真机控件节点中，携带 id 属性的节点仅 70 个，占 4.2%；79.9% 的可交互控件不具备任何语义标识。可点击容器的文案常位于子节点，Canvas 自绘界面无法从控件树直接取到目标文本，这类页面只能靠人工看截图确认位置。</w:t>
      </w:r>
    </w:p>
    <w:p w14:paraId="316B9777">
      <w:pPr>
        <w:pStyle w:val="13"/>
        <w:spacing w:line="360" w:lineRule="auto"/>
        <w:ind w:firstLine="480" w:firstLineChars="200"/>
        <w:jc w:val="both"/>
        <w:rPr>
          <w:sz w:val="24"/>
        </w:rPr>
      </w:pPr>
      <w:r>
        <w:rPr>
          <w:sz w:val="24"/>
        </w:rPr>
        <w:t>第二，失败无法归因。脚本更换应用或升级版本即失效，新页面与异常路径覆盖不到，复用性差；常规自动化工具只能报告步骤执行失败，难以区分应用崩溃、界面白屏、页面无响应、无窗口、目标控件丢失等情况，测试人员仍需结合运行日志与界面状态人工排查，问题定位成本高，测试结论也难以复核。</w:t>
      </w:r>
    </w:p>
    <w:p w14:paraId="079E8341">
      <w:pPr>
        <w:pStyle w:val="13"/>
        <w:spacing w:line="360" w:lineRule="auto"/>
        <w:ind w:firstLine="480" w:firstLineChars="200"/>
        <w:jc w:val="both"/>
        <w:rPr>
          <w:sz w:val="24"/>
        </w:rPr>
      </w:pPr>
      <w:r>
        <w:rPr>
          <w:sz w:val="24"/>
        </w:rPr>
        <w:t>第三，质量缺乏可信度。测试框架只报告步骤是否执行，脚本普遍缺少断言与检查点；模型生成的用例可能缺少实质性操作或有效断言，也可能在页面跳转后仍引用前一页面的控件作为断言目标。未经校验即纳入统计，通过率高也未必反映真实质量。</w:t>
      </w:r>
    </w:p>
    <w:p w14:paraId="671E11FA">
      <w:pPr>
        <w:pStyle w:val="13"/>
        <w:spacing w:line="360" w:lineRule="auto"/>
        <w:ind w:firstLine="480" w:firstLineChars="200"/>
        <w:jc w:val="both"/>
        <w:rPr>
          <w:sz w:val="24"/>
        </w:rPr>
      </w:pPr>
      <w:r>
        <w:rPr>
          <w:sz w:val="24"/>
        </w:rPr>
        <w:t>命题指出的路径是用多源信息替代人工判读：截图、界面布局、控件树、日志与用户描述共同感知状态，自动探索核心场景，生成可复用的用例脚本，把「人写脚本」换成「系统生成脚本」，具备孵化为开发者测试工具或智能测试 Agent 的产业价值。本项目据此在 DAYU200 开发板（OpenHarmony 5.0）与折叠屏模拟器组成的环境中完成系统设计与验证，按命题鼓励的闭环组织采集、理解、规划、生成、执行、分析、沉淀七个环节，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826"/>
      <w:bookmarkStart w:id="18" w:name="_Toc366164733"/>
      <w:bookmarkStart w:id="19" w:name="_Toc369273280"/>
      <w:bookmarkStart w:id="20" w:name="_Toc369273197"/>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完成感知与定位、探索与生成、执行与归因三项核心功能，并记录可复现的执行证据。系统的技术重心集中在三大功能：源码、控件树、截图与文字四路证据的感知与定位，自动探索与两段式用例生成，以及执行过程的信号取证与失败归因；其余能力作为配套，保证闭环可以完整运行。</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22FA96E2">
      <w:pPr>
        <w:pStyle w:val="13"/>
        <w:spacing w:line="360" w:lineRule="auto"/>
        <w:ind w:firstLine="480" w:firstLineChars="200"/>
        <w:jc w:val="both"/>
        <w:rPr>
          <w:sz w:val="24"/>
        </w:rPr>
      </w:pPr>
      <w:r>
        <w:rPr>
          <w:sz w:val="24"/>
        </w:rPr>
        <w:t>与上表相对应，系统的功能边界同样需要明确。在设备与应用层面，系统不负责打包测试安装包、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09293A56">
      <w:pPr>
        <w:pStyle w:val="13"/>
        <w:spacing w:line="360" w:lineRule="auto"/>
        <w:ind w:firstLine="480" w:firstLineChars="200"/>
        <w:jc w:val="both"/>
        <w:rPr>
          <w:sz w:val="24"/>
        </w:rPr>
      </w:pPr>
      <w:r>
        <w:rPr>
          <w:rFonts w:hint="eastAsia"/>
          <w:sz w:val="24"/>
        </w:rPr>
        <w:t>七个环节的产出即下一环节的输入：控件树、截图与日志→控件清单与疑似缺陷→页面状态图→可执行用例→结果与耗时→归因结论→回归集与报告。</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系统按三大功能组织：① 多源感知与元素定位，② 自动探索与用例生成，③ 执行与归因。三大功能在时间上展开为采集、理解、规划、生成、执行、分析与沉淀七个环节，在能力上分解为设备接入、仿真与离线、界面感知与定位、特殊形态支持、页面探索、用例生成、执行与调度、缺陷发现与归因、报告与回归集九个能力域，对应关系见下表。以下分别说明三大功能内部的核心机制与配套能力。</w:t>
      </w:r>
    </w:p>
    <w:p w14:paraId="5FDA5BC1">
      <w:pPr>
        <w:keepNext/>
        <w:jc w:val="center"/>
        <w:rPr>
          <w:rFonts w:ascii="黑体" w:hAnsi="黑体" w:eastAsia="黑体"/>
          <w:sz w:val="24"/>
        </w:rPr>
      </w:pPr>
      <w:r>
        <w:rPr>
          <w:rFonts w:ascii="黑体" w:hAnsi="黑体" w:eastAsia="黑体"/>
          <w:sz w:val="24"/>
        </w:rPr>
        <w:t>表2　系统九域能力与覆盖内容</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900"/>
        <w:gridCol w:w="2200"/>
        <w:gridCol w:w="5910"/>
      </w:tblGrid>
      <w:tr w14:paraId="6E7AE29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900" w:type="dxa"/>
          </w:tcPr>
          <w:p w14:paraId="7FFB5005">
            <w:pPr>
              <w:spacing w:before="20" w:after="20" w:line="252" w:lineRule="auto"/>
              <w:jc w:val="center"/>
              <w:rPr>
                <w:b/>
                <w:sz w:val="21"/>
              </w:rPr>
            </w:pPr>
            <w:r>
              <w:rPr>
                <w:rFonts w:hint="eastAsia"/>
                <w:b/>
                <w:sz w:val="21"/>
              </w:rPr>
              <w:t>序号</w:t>
            </w:r>
          </w:p>
        </w:tc>
        <w:tc>
          <w:tcPr>
            <w:tcW w:w="2200" w:type="dxa"/>
          </w:tcPr>
          <w:p w14:paraId="7FFB5006">
            <w:pPr>
              <w:spacing w:before="20" w:after="20" w:line="252" w:lineRule="auto"/>
              <w:jc w:val="center"/>
              <w:rPr>
                <w:b/>
                <w:sz w:val="21"/>
              </w:rPr>
            </w:pPr>
            <w:r>
              <w:rPr>
                <w:rFonts w:hint="eastAsia"/>
                <w:b/>
                <w:sz w:val="21"/>
              </w:rPr>
              <w:t>能力域</w:t>
            </w:r>
          </w:p>
        </w:tc>
        <w:tc>
          <w:tcPr>
            <w:tcW w:w="5910" w:type="dxa"/>
          </w:tcPr>
          <w:p w14:paraId="7FFB5007">
            <w:pPr>
              <w:spacing w:before="20" w:after="20" w:line="252" w:lineRule="auto"/>
              <w:jc w:val="center"/>
              <w:rPr>
                <w:b/>
                <w:sz w:val="21"/>
              </w:rPr>
            </w:pPr>
            <w:r>
              <w:rPr>
                <w:rFonts w:hint="eastAsia"/>
                <w:b/>
                <w:sz w:val="21"/>
              </w:rPr>
              <w:t>覆盖内容与对应模块</w:t>
            </w:r>
          </w:p>
        </w:tc>
      </w:tr>
      <w:tr w14:paraId="1CB9F74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08">
            <w:pPr>
              <w:spacing w:before="20" w:after="20" w:line="252" w:lineRule="auto"/>
              <w:jc w:val="center"/>
              <w:rPr>
                <w:sz w:val="21"/>
              </w:rPr>
            </w:pPr>
            <w:r>
              <w:rPr>
                <w:sz w:val="21"/>
              </w:rPr>
              <w:t>01</w:t>
            </w:r>
          </w:p>
        </w:tc>
        <w:tc>
          <w:tcPr>
            <w:tcW w:w="2200" w:type="dxa"/>
          </w:tcPr>
          <w:p w14:paraId="7FFB5009">
            <w:pPr>
              <w:spacing w:before="20" w:after="20" w:line="252" w:lineRule="auto"/>
              <w:jc w:val="center"/>
              <w:rPr>
                <w:sz w:val="21"/>
              </w:rPr>
            </w:pPr>
            <w:r>
              <w:rPr>
                <w:rFonts w:hint="eastAsia"/>
                <w:sz w:val="21"/>
              </w:rPr>
              <w:t>设备接入</w:t>
            </w:r>
          </w:p>
        </w:tc>
        <w:tc>
          <w:tcPr>
            <w:tcW w:w="5910" w:type="dxa"/>
          </w:tcPr>
          <w:p w14:paraId="7FFB500A">
            <w:pPr>
              <w:spacing w:before="20" w:after="20" w:line="252" w:lineRule="auto"/>
              <w:jc w:val="center"/>
              <w:rPr>
                <w:sz w:val="21"/>
              </w:rPr>
            </w:pPr>
            <w:r>
              <w:rPr>
                <w:rFonts w:hint="eastAsia"/>
                <w:sz w:val="21"/>
              </w:rPr>
              <w:t>通过设备调试通道直连真机，零部署（hdc.py / devices.py / doctor.py）</w:t>
            </w:r>
          </w:p>
        </w:tc>
      </w:tr>
      <w:tr w14:paraId="60D6AC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0B">
            <w:pPr>
              <w:spacing w:before="20" w:after="20" w:line="252" w:lineRule="auto"/>
              <w:jc w:val="center"/>
              <w:rPr>
                <w:sz w:val="21"/>
              </w:rPr>
            </w:pPr>
            <w:r>
              <w:rPr>
                <w:sz w:val="21"/>
              </w:rPr>
              <w:t>02</w:t>
            </w:r>
          </w:p>
        </w:tc>
        <w:tc>
          <w:tcPr>
            <w:tcW w:w="2200" w:type="dxa"/>
          </w:tcPr>
          <w:p w14:paraId="7FFB500C">
            <w:pPr>
              <w:spacing w:before="20" w:after="20" w:line="252" w:lineRule="auto"/>
              <w:jc w:val="center"/>
              <w:rPr>
                <w:sz w:val="21"/>
              </w:rPr>
            </w:pPr>
            <w:r>
              <w:rPr>
                <w:rFonts w:hint="eastAsia"/>
                <w:sz w:val="21"/>
              </w:rPr>
              <w:t>仿真与离线</w:t>
            </w:r>
          </w:p>
        </w:tc>
        <w:tc>
          <w:tcPr>
            <w:tcW w:w="5910" w:type="dxa"/>
          </w:tcPr>
          <w:p w14:paraId="7FFB500D">
            <w:pPr>
              <w:spacing w:before="20" w:after="20" w:line="252" w:lineRule="auto"/>
              <w:jc w:val="center"/>
              <w:rPr>
                <w:sz w:val="21"/>
              </w:rPr>
            </w:pPr>
            <w:r>
              <w:rPr>
                <w:rFonts w:hint="eastAsia"/>
                <w:sz w:val="21"/>
              </w:rPr>
              <w:t>无设备时的离线模拟与故障注入（sim.py）</w:t>
            </w:r>
          </w:p>
        </w:tc>
      </w:tr>
      <w:tr w14:paraId="26BE82B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0E">
            <w:pPr>
              <w:spacing w:before="20" w:after="20" w:line="252" w:lineRule="auto"/>
              <w:jc w:val="center"/>
              <w:rPr>
                <w:sz w:val="21"/>
              </w:rPr>
            </w:pPr>
            <w:r>
              <w:rPr>
                <w:sz w:val="21"/>
              </w:rPr>
              <w:t>03</w:t>
            </w:r>
          </w:p>
        </w:tc>
        <w:tc>
          <w:tcPr>
            <w:tcW w:w="2200" w:type="dxa"/>
          </w:tcPr>
          <w:p w14:paraId="7FFB500F">
            <w:pPr>
              <w:spacing w:before="20" w:after="20" w:line="252" w:lineRule="auto"/>
              <w:jc w:val="center"/>
              <w:rPr>
                <w:sz w:val="21"/>
              </w:rPr>
            </w:pPr>
            <w:r>
              <w:rPr>
                <w:rFonts w:hint="eastAsia"/>
                <w:sz w:val="21"/>
              </w:rPr>
              <w:t>界面感知与定位</w:t>
            </w:r>
          </w:p>
        </w:tc>
        <w:tc>
          <w:tcPr>
            <w:tcW w:w="5910" w:type="dxa"/>
          </w:tcPr>
          <w:p w14:paraId="7FFB5010">
            <w:pPr>
              <w:spacing w:before="20" w:after="20" w:line="252" w:lineRule="auto"/>
              <w:jc w:val="center"/>
              <w:rPr>
                <w:sz w:val="21"/>
              </w:rPr>
            </w:pPr>
            <w:r>
              <w:rPr>
                <w:rFonts w:hint="eastAsia"/>
                <w:sz w:val="21"/>
              </w:rPr>
              <w:t>控件树、视觉、OCR 与源码四路证据融合（layout.py / matcher.py / locator.py / fusion.py / vision.py）</w:t>
            </w:r>
          </w:p>
        </w:tc>
      </w:tr>
      <w:tr w14:paraId="7691367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11">
            <w:pPr>
              <w:spacing w:before="20" w:after="20" w:line="252" w:lineRule="auto"/>
              <w:jc w:val="center"/>
              <w:rPr>
                <w:sz w:val="21"/>
              </w:rPr>
            </w:pPr>
            <w:r>
              <w:rPr>
                <w:sz w:val="21"/>
              </w:rPr>
              <w:t>04</w:t>
            </w:r>
          </w:p>
        </w:tc>
        <w:tc>
          <w:tcPr>
            <w:tcW w:w="2200" w:type="dxa"/>
          </w:tcPr>
          <w:p w14:paraId="7FFB5012">
            <w:pPr>
              <w:spacing w:before="20" w:after="20" w:line="252" w:lineRule="auto"/>
              <w:jc w:val="center"/>
              <w:rPr>
                <w:sz w:val="21"/>
              </w:rPr>
            </w:pPr>
            <w:r>
              <w:rPr>
                <w:rFonts w:hint="eastAsia"/>
                <w:sz w:val="21"/>
              </w:rPr>
              <w:t>特殊形态支持</w:t>
            </w:r>
          </w:p>
        </w:tc>
        <w:tc>
          <w:tcPr>
            <w:tcW w:w="5910" w:type="dxa"/>
          </w:tcPr>
          <w:p w14:paraId="7FFB5013">
            <w:pPr>
              <w:spacing w:before="20" w:after="20" w:line="252" w:lineRule="auto"/>
              <w:jc w:val="center"/>
              <w:rPr>
                <w:sz w:val="21"/>
              </w:rPr>
            </w:pPr>
            <w:r>
              <w:rPr>
                <w:rFonts w:hint="eastAsia"/>
                <w:sz w:val="21"/>
              </w:rPr>
              <w:t>折叠屏展开与收起双态差异比对（crossform.py / crossform_report.py）</w:t>
            </w:r>
          </w:p>
        </w:tc>
      </w:tr>
      <w:tr w14:paraId="0EACA39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14">
            <w:pPr>
              <w:spacing w:before="20" w:after="20" w:line="252" w:lineRule="auto"/>
              <w:jc w:val="center"/>
              <w:rPr>
                <w:sz w:val="21"/>
              </w:rPr>
            </w:pPr>
            <w:r>
              <w:rPr>
                <w:sz w:val="21"/>
              </w:rPr>
              <w:t>05</w:t>
            </w:r>
          </w:p>
        </w:tc>
        <w:tc>
          <w:tcPr>
            <w:tcW w:w="2200" w:type="dxa"/>
          </w:tcPr>
          <w:p w14:paraId="7FFB5015">
            <w:pPr>
              <w:spacing w:before="20" w:after="20" w:line="252" w:lineRule="auto"/>
              <w:jc w:val="center"/>
              <w:rPr>
                <w:sz w:val="21"/>
              </w:rPr>
            </w:pPr>
            <w:r>
              <w:rPr>
                <w:rFonts w:hint="eastAsia"/>
                <w:sz w:val="21"/>
              </w:rPr>
              <w:t>页面探索</w:t>
            </w:r>
          </w:p>
        </w:tc>
        <w:tc>
          <w:tcPr>
            <w:tcW w:w="5910" w:type="dxa"/>
          </w:tcPr>
          <w:p w14:paraId="7FFB5016">
            <w:pPr>
              <w:spacing w:before="20" w:after="20" w:line="252" w:lineRule="auto"/>
              <w:jc w:val="center"/>
              <w:rPr>
                <w:sz w:val="21"/>
              </w:rPr>
            </w:pPr>
            <w:r>
              <w:rPr>
                <w:rFonts w:hint="eastAsia"/>
                <w:sz w:val="21"/>
              </w:rPr>
              <w:t>广度优先遍历，产出页面状态图（explorer.py / treesum.py / identity.py）</w:t>
            </w:r>
          </w:p>
        </w:tc>
      </w:tr>
      <w:tr w14:paraId="1BF2CD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17">
            <w:pPr>
              <w:spacing w:before="20" w:after="20" w:line="252" w:lineRule="auto"/>
              <w:jc w:val="center"/>
              <w:rPr>
                <w:sz w:val="21"/>
              </w:rPr>
            </w:pPr>
            <w:r>
              <w:rPr>
                <w:sz w:val="21"/>
              </w:rPr>
              <w:t>06</w:t>
            </w:r>
          </w:p>
        </w:tc>
        <w:tc>
          <w:tcPr>
            <w:tcW w:w="2200" w:type="dxa"/>
          </w:tcPr>
          <w:p w14:paraId="7FFB5018">
            <w:pPr>
              <w:spacing w:before="20" w:after="20" w:line="252" w:lineRule="auto"/>
              <w:jc w:val="center"/>
              <w:rPr>
                <w:sz w:val="21"/>
              </w:rPr>
            </w:pPr>
            <w:r>
              <w:rPr>
                <w:rFonts w:hint="eastAsia"/>
                <w:sz w:val="21"/>
              </w:rPr>
              <w:t>用例生成</w:t>
            </w:r>
          </w:p>
        </w:tc>
        <w:tc>
          <w:tcPr>
            <w:tcW w:w="5910" w:type="dxa"/>
          </w:tcPr>
          <w:p w14:paraId="7FFB5019">
            <w:pPr>
              <w:spacing w:before="20" w:after="20" w:line="252" w:lineRule="auto"/>
              <w:jc w:val="center"/>
              <w:rPr>
                <w:sz w:val="21"/>
              </w:rPr>
            </w:pPr>
            <w:r>
              <w:rPr>
                <w:rFonts w:hint="eastAsia"/>
                <w:sz w:val="21"/>
              </w:rPr>
              <w:t>自然语言与探索轨迹转可执行用例（generator.py / action.py / llm_transport.py）</w:t>
            </w:r>
          </w:p>
        </w:tc>
      </w:tr>
      <w:tr w14:paraId="30C5099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1A">
            <w:pPr>
              <w:spacing w:before="20" w:after="20" w:line="252" w:lineRule="auto"/>
              <w:jc w:val="center"/>
              <w:rPr>
                <w:sz w:val="21"/>
              </w:rPr>
            </w:pPr>
            <w:r>
              <w:rPr>
                <w:sz w:val="21"/>
              </w:rPr>
              <w:t>07</w:t>
            </w:r>
          </w:p>
        </w:tc>
        <w:tc>
          <w:tcPr>
            <w:tcW w:w="2200" w:type="dxa"/>
          </w:tcPr>
          <w:p w14:paraId="7FFB501B">
            <w:pPr>
              <w:spacing w:before="20" w:after="20" w:line="252" w:lineRule="auto"/>
              <w:jc w:val="center"/>
              <w:rPr>
                <w:sz w:val="21"/>
              </w:rPr>
            </w:pPr>
            <w:r>
              <w:rPr>
                <w:rFonts w:hint="eastAsia"/>
                <w:sz w:val="21"/>
              </w:rPr>
              <w:t>执行与调度</w:t>
            </w:r>
          </w:p>
        </w:tc>
        <w:tc>
          <w:tcPr>
            <w:tcW w:w="5910" w:type="dxa"/>
          </w:tcPr>
          <w:p w14:paraId="7FFB501C">
            <w:pPr>
              <w:spacing w:before="20" w:after="20" w:line="252" w:lineRule="auto"/>
              <w:jc w:val="center"/>
              <w:rPr>
                <w:sz w:val="21"/>
              </w:rPr>
            </w:pPr>
            <w:r>
              <w:rPr>
                <w:rFonts w:hint="eastAsia"/>
                <w:sz w:val="21"/>
              </w:rPr>
              <w:t>稳健等待、全套手势与权限弹窗处理（runner.py / driver.py / permission.py）</w:t>
            </w:r>
          </w:p>
        </w:tc>
      </w:tr>
      <w:tr w14:paraId="109F8E2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1D">
            <w:pPr>
              <w:spacing w:before="20" w:after="20" w:line="252" w:lineRule="auto"/>
              <w:jc w:val="center"/>
              <w:rPr>
                <w:sz w:val="21"/>
              </w:rPr>
            </w:pPr>
            <w:r>
              <w:rPr>
                <w:sz w:val="21"/>
              </w:rPr>
              <w:t>08</w:t>
            </w:r>
          </w:p>
        </w:tc>
        <w:tc>
          <w:tcPr>
            <w:tcW w:w="2200" w:type="dxa"/>
          </w:tcPr>
          <w:p w14:paraId="7FFB501E">
            <w:pPr>
              <w:spacing w:before="20" w:after="20" w:line="252" w:lineRule="auto"/>
              <w:jc w:val="center"/>
              <w:rPr>
                <w:sz w:val="21"/>
              </w:rPr>
            </w:pPr>
            <w:r>
              <w:rPr>
                <w:rFonts w:hint="eastAsia"/>
                <w:sz w:val="21"/>
              </w:rPr>
              <w:t>缺陷发现与归因</w:t>
            </w:r>
          </w:p>
        </w:tc>
        <w:tc>
          <w:tcPr>
            <w:tcW w:w="5910" w:type="dxa"/>
          </w:tcPr>
          <w:p w14:paraId="7FFB501F">
            <w:pPr>
              <w:spacing w:before="20" w:after="20" w:line="252" w:lineRule="auto"/>
              <w:jc w:val="center"/>
              <w:rPr>
                <w:sz w:val="21"/>
              </w:rPr>
            </w:pPr>
            <w:r>
              <w:rPr>
                <w:rFonts w:hint="eastAsia"/>
                <w:sz w:val="21"/>
              </w:rPr>
              <w:t>六类信号取证与四分类判定（signals.py / diagnose.py / perf.py）</w:t>
            </w:r>
          </w:p>
        </w:tc>
      </w:tr>
      <w:tr w14:paraId="187417E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dxa"/>
          </w:tcPr>
          <w:p w14:paraId="7FFB5020">
            <w:pPr>
              <w:spacing w:before="20" w:after="20" w:line="252" w:lineRule="auto"/>
              <w:jc w:val="center"/>
              <w:rPr>
                <w:sz w:val="21"/>
              </w:rPr>
            </w:pPr>
            <w:r>
              <w:rPr>
                <w:sz w:val="21"/>
              </w:rPr>
              <w:t>09</w:t>
            </w:r>
          </w:p>
        </w:tc>
        <w:tc>
          <w:tcPr>
            <w:tcW w:w="2200" w:type="dxa"/>
          </w:tcPr>
          <w:p w14:paraId="7FFB5021">
            <w:pPr>
              <w:spacing w:before="20" w:after="20" w:line="252" w:lineRule="auto"/>
              <w:jc w:val="center"/>
              <w:rPr>
                <w:sz w:val="21"/>
              </w:rPr>
            </w:pPr>
            <w:r>
              <w:rPr>
                <w:rFonts w:hint="eastAsia"/>
                <w:sz w:val="21"/>
              </w:rPr>
              <w:t>报告与回归集</w:t>
            </w:r>
          </w:p>
        </w:tc>
        <w:tc>
          <w:tcPr>
            <w:tcW w:w="5910" w:type="dxa"/>
          </w:tcPr>
          <w:p w14:paraId="7FFB5022">
            <w:pPr>
              <w:spacing w:before="20" w:after="20" w:line="252" w:lineRule="auto"/>
              <w:jc w:val="center"/>
              <w:rPr>
                <w:sz w:val="21"/>
              </w:rPr>
            </w:pPr>
            <w:r>
              <w:rPr>
                <w:rFonts w:hint="eastAsia"/>
                <w:sz w:val="21"/>
              </w:rPr>
              <w:t>三种格式报告与可重放回归用例（report.py / examples/ / tools/）</w:t>
            </w:r>
          </w:p>
        </w:tc>
      </w:tr>
    </w:tbl>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时序问题、应用缺陷、用例缺陷四类；环境问题与证据不足作为非归因结论单独标注，不计入归因统计。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系统当前的能力基线与专项评测结果汇总如下表3所示。各项指标应结合对应的统计口径、测试环境与复现方式理解；相关依据及复现信息见第3.3节。</w:t>
      </w:r>
    </w:p>
    <w:p w14:paraId="1A9C3F3B">
      <w:pPr>
        <w:keepNext/>
        <w:jc w:val="center"/>
      </w:pPr>
      <w:r>
        <w:rPr>
          <w:rFonts w:ascii="黑体" w:hAnsi="黑体" w:eastAsia="黑体"/>
          <w:sz w:val="24"/>
        </w:rPr>
        <w:t>表3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1D09440C">
            <w:pPr>
              <w:spacing w:before="20" w:after="20" w:line="252" w:lineRule="auto"/>
              <w:jc w:val="center"/>
            </w:pPr>
            <w:r>
              <w:rPr>
                <w:sz w:val="21"/>
              </w:rPr>
              <w:t>真机长时间运行（引擎级）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安装包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9273828"/>
      <w:bookmarkStart w:id="29" w:name="_Toc366164734"/>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244203744"/>
      <w:bookmarkStart w:id="33" w:name="_Toc369273283"/>
      <w:bookmarkStart w:id="34" w:name="_Toc147738853"/>
      <w:bookmarkStart w:id="35" w:name="_Toc369273829"/>
      <w:bookmarkStart w:id="36" w:name="_Toc366164735"/>
      <w:r>
        <w:rPr>
          <w:rFonts w:hint="eastAsia"/>
        </w:rPr>
        <w:t>模块划分</w:t>
      </w:r>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4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表4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质量门禁/静态检查/离线评测/长时间运行编排（50个脚本）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369273284"/>
      <w:bookmarkStart w:id="41" w:name="_Toc369273830"/>
      <w:bookmarkStart w:id="42" w:name="_Toc244203745"/>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6164737"/>
      <w:bookmarkStart w:id="44" w:name="_Toc244203746"/>
      <w:bookmarkStart w:id="45" w:name="_Toc369273285"/>
      <w:bookmarkStart w:id="46" w:name="_Toc369273831"/>
      <w:bookmarkStart w:id="47" w:name="_Toc147738855"/>
      <w:bookmarkStart w:id="48" w:name="_Toc369273202"/>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项目仓库采用自包含的目录组织方式，主要目录与系统分层及开发任务相对应，具体如下表5所示。</w:t>
      </w:r>
    </w:p>
    <w:p w14:paraId="251D84A6">
      <w:pPr>
        <w:keepNext/>
        <w:jc w:val="center"/>
      </w:pPr>
      <w:r>
        <w:rPr>
          <w:rFonts w:ascii="黑体" w:hAnsi="黑体" w:eastAsia="黑体"/>
          <w:sz w:val="24"/>
        </w:rPr>
        <w:t>表5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工装：静态检查与质量门禁、离线评测、脚本导出、长时间运行编排、遥测采集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203"/>
      <w:bookmarkStart w:id="50" w:name="_Toc369273832"/>
      <w:bookmarkStart w:id="51" w:name="_Toc366164738"/>
      <w:bookmarkStart w:id="52" w:name="_Toc147738856"/>
      <w:bookmarkStart w:id="53" w:name="_Toc369273286"/>
      <w:bookmarkStart w:id="54" w:name="_Toc244203747"/>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55090"/>
      <w:bookmarkEnd w:id="56"/>
      <w:bookmarkStart w:id="57" w:name="_Toc369273204"/>
      <w:bookmarkEnd w:id="57"/>
      <w:bookmarkStart w:id="58" w:name="_Toc147738857"/>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147738858"/>
      <w:bookmarkEnd w:id="64"/>
      <w:bookmarkStart w:id="65" w:name="_Toc369273205"/>
      <w:bookmarkEnd w:id="65"/>
      <w:bookmarkStart w:id="66" w:name="_Toc147755091"/>
      <w:bookmarkEnd w:id="66"/>
      <w:bookmarkStart w:id="67" w:name="_Toc36927328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处理：执行失败后，系统先采集现场证据（控件树、截图、系统日志、崩溃日志），signals 仅产出证据与置信度；diagnose 消费证据并给出定位失败、时序问题、应用缺陷、用例缺陷四类结论，环境问题与证据不足单独标注；runner 据此决定重试、复位或自愈。判定职责严格分离，信号模块不产出结论，归因结论必须引用证据。</w:t>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非法才回模型重写）；干跑（跳过副作用步骤的离线验证）；压力测试用例生成（重复点击、连续滑动、页面反复进出、长时间运行）。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StressSpec（压力测试四类与规格）。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06"/>
      <w:bookmarkStart w:id="75" w:name="_Toc369273289"/>
      <w:bookmarkStart w:id="76" w:name="_Toc369273835"/>
      <w:bookmarkStart w:id="77" w:name="_Toc147738860"/>
      <w:bookmarkStart w:id="78" w:name="_Toc244203752"/>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6164742"/>
      <w:bookmarkEnd w:id="80"/>
      <w:bookmarkStart w:id="81" w:name="_Toc147738861"/>
      <w:bookmarkEnd w:id="81"/>
      <w:bookmarkStart w:id="82" w:name="_Toc147755094"/>
      <w:bookmarkEnd w:id="82"/>
      <w:bookmarkStart w:id="83" w:name="_Toc369273836"/>
      <w:bookmarkEnd w:id="83"/>
      <w:bookmarkStart w:id="84" w:name="_Toc369273290"/>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用例一的主要处理步骤如下表6所示。</w:t>
      </w:r>
    </w:p>
    <w:p w14:paraId="282A1707">
      <w:pPr>
        <w:keepNext/>
        <w:jc w:val="center"/>
      </w:pPr>
      <w:r>
        <w:rPr>
          <w:rFonts w:ascii="黑体" w:hAnsi="黑体" w:eastAsia="黑体"/>
          <w:sz w:val="24"/>
        </w:rPr>
        <w:t>表6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08"/>
      <w:bookmarkEnd w:id="86"/>
      <w:bookmarkStart w:id="87" w:name="_Toc369273837"/>
      <w:bookmarkEnd w:id="87"/>
      <w:bookmarkStart w:id="88" w:name="_Toc369273291"/>
      <w:bookmarkEnd w:id="88"/>
      <w:bookmarkStart w:id="89" w:name="_Toc147755095"/>
      <w:bookmarkEnd w:id="89"/>
      <w:bookmarkStart w:id="90" w:name="_Toc366164743"/>
      <w:bookmarkEnd w:id="90"/>
      <w:bookmarkStart w:id="91" w:name="_Toc147738862"/>
      <w:bookmarkEnd w:id="91"/>
      <w:bookmarkStart w:id="92" w:name="_Toc244203754"/>
      <w:r>
        <w:t>用例二：应用长时间运行评测</w:t>
      </w:r>
      <w:bookmarkEnd w:id="92"/>
    </w:p>
    <w:p w14:paraId="28FE0B84">
      <w:pPr>
        <w:pStyle w:val="13"/>
        <w:spacing w:line="360" w:lineRule="auto"/>
        <w:ind w:firstLine="480" w:firstLineChars="200"/>
        <w:jc w:val="both"/>
      </w:pPr>
      <w:r>
        <w:rPr>
          <w:rFonts w:hint="eastAsia"/>
          <w:sz w:val="24"/>
          <w:szCs w:val="24"/>
        </w:rPr>
        <w:t>用例二的主要步骤如下表7所示。</w:t>
      </w:r>
    </w:p>
    <w:p w14:paraId="350C92B5">
      <w:pPr>
        <w:keepNext/>
        <w:jc w:val="center"/>
      </w:pPr>
      <w:r>
        <w:rPr>
          <w:rFonts w:ascii="黑体" w:hAnsi="黑体" w:eastAsia="黑体"/>
          <w:sz w:val="24"/>
        </w:rPr>
        <w:t>表7　用例二：应用长时间运行评测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5.0）或可离线复现的评测脚本，均可按表3注明的命令在仓库中复现。逐条对账结果如下表8所示。</w:t>
      </w:r>
    </w:p>
    <w:p w14:paraId="3E7F534D">
      <w:pPr>
        <w:keepNext/>
        <w:jc w:val="center"/>
      </w:pPr>
      <w:r>
        <w:rPr>
          <w:rFonts w:ascii="黑体" w:hAnsi="黑体" w:eastAsia="黑体"/>
          <w:sz w:val="24"/>
        </w:rPr>
        <w:t>表8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5FAADDE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73362B79">
            <w:pPr>
              <w:spacing w:before="20" w:after="20" w:line="252" w:lineRule="auto"/>
              <w:jc w:val="center"/>
            </w:pPr>
            <w:r>
              <w:rPr>
                <w:sz w:val="21"/>
              </w:rPr>
              <w:t>连续滑动压测</w:t>
            </w:r>
          </w:p>
        </w:tc>
        <w:tc>
          <w:tcPr>
            <w:tcW w:w="832" w:type="pct"/>
            <w:vAlign w:val="center"/>
          </w:tcPr>
          <w:p w14:paraId="39E18234">
            <w:pPr>
              <w:spacing w:before="20" w:after="20" w:line="252" w:lineRule="auto"/>
              <w:jc w:val="center"/>
            </w:pPr>
            <w:r>
              <w:rPr>
                <w:sz w:val="21"/>
              </w:rPr>
              <w:t>≥20 轮</w:t>
            </w:r>
          </w:p>
        </w:tc>
        <w:tc>
          <w:tcPr>
            <w:tcW w:w="2281" w:type="pct"/>
            <w:vAlign w:val="center"/>
          </w:tcPr>
          <w:p w14:paraId="3C5FE8C3">
            <w:pPr>
              <w:spacing w:before="20" w:after="20" w:line="252" w:lineRule="auto"/>
              <w:jc w:val="center"/>
            </w:pPr>
            <w:r>
              <w:rPr>
                <w:sz w:val="21"/>
              </w:rPr>
              <w:t>设置列表 20 轮 / 180 步 / 15.7 分钟，真机实测</w:t>
            </w:r>
          </w:p>
        </w:tc>
        <w:tc>
          <w:tcPr>
            <w:tcW w:w="666" w:type="pct"/>
            <w:vAlign w:val="center"/>
          </w:tcPr>
          <w:p w14:paraId="2DCBBF1D">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14:paraId="13CDACAA">
            <w:r>
              <w:t>六类信号通道齐备（崩溃、卡死、白屏、无响应、无窗口、布局异常）；崩溃与无窗口两类已真机受控注入验证</w:t>
            </w:r>
          </w:p>
        </w:tc>
        <w:tc>
          <w:tcPr>
            <w:tcW w:w="666" w:type="pct"/>
            <w:vAlign w:val="center"/>
          </w:tcPr>
          <w:p w14:paraId="5B326F96">
            <w:pPr>
              <w:jc w:val="center"/>
            </w:pPr>
            <w:r>
              <w:t>达标</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15 项指标中，14 项达标、1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视觉通道给出的定位结果与控件树标注是否一致’，衡量的是双通道相互验证的一致性，而非视觉的绝对准确率；项目未建立人工真值标注集，引用该数值时须带上此限定。其二，失败归因的目标值是总体准确率，当前仅完成崩溃与无窗口两类异常的真机受控注入验证，多类故障的批量注入统计尚未开展；该项按六类信号通道覆盖计为达标，批量统计列为后续工作。</w:t>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92.3%；问题复现与稳定性压力测试两类场景分别由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力测试脚本覆盖重复点击、连续滑动、页面反复进出与长时间运行四类；结果分析由归因四分类与五类信号判据实现；用例沉淀由探索产物直接转为可重放回归集；工具化可行性由 2.9 的对外接口与 2.10 的命令行形态说明。</w:t>
      </w:r>
    </w:p>
    <w:p w14:paraId="651D641D">
      <w:pPr>
        <w:pStyle w:val="3"/>
        <w:keepNext/>
        <w:widowControl w:val="0"/>
        <w:tabs>
          <w:tab w:val="left" w:pos="720"/>
        </w:tabs>
        <w:spacing w:before="0" w:after="120"/>
        <w:ind w:left="720" w:hanging="567"/>
        <w:jc w:val="left"/>
        <w:rPr>
          <w:rFonts w:hint="eastAsia" w:ascii="宋体" w:hAnsi="宋体" w:eastAsia="宋体"/>
        </w:rPr>
      </w:pPr>
      <w:r>
        <w:rPr>
          <w:rFonts w:ascii="宋体" w:hAnsi="宋体" w:eastAsia="宋体"/>
        </w:rPr>
        <w:t>命题目标逐条对照</w:t>
      </w:r>
      <w:bookmarkEnd w:id="31"/>
      <w:bookmarkEnd w:id="32"/>
      <w:bookmarkEnd w:id="33"/>
      <w:bookmarkEnd w:id="34"/>
      <w:bookmarkEnd w:id="35"/>
      <w:bookmarkEnd w:id="36"/>
    </w:p>
    <w:p w14:paraId="19AD8382">
      <w:pPr>
        <w:pStyle w:val="13"/>
        <w:spacing w:line="360" w:lineRule="auto"/>
        <w:ind w:firstLine="480" w:firstLineChars="200"/>
        <w:jc w:val="both"/>
      </w:pPr>
      <w:r>
        <w:rPr>
          <w:sz w:val="24"/>
        </w:rPr>
        <w:t>本节按命题的基础目标 6 条与挑战目标 7 条逐条对照，编号中「基」为基础目标、「挑」为挑战目标。</w:t>
      </w:r>
    </w:p>
    <w:p w14:paraId="756FBF15">
      <w:pPr>
        <w:keepNext/>
        <w:jc w:val="center"/>
        <w:rPr>
          <w:rFonts w:ascii="黑体" w:hAnsi="黑体" w:eastAsia="黑体"/>
          <w:sz w:val="24"/>
        </w:rPr>
      </w:pPr>
      <w:r>
        <w:rPr>
          <w:rFonts w:ascii="黑体" w:hAnsi="黑体" w:eastAsia="黑体"/>
          <w:sz w:val="24"/>
        </w:rPr>
        <w:t>表9　命题目标逐条对照</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3400"/>
        <w:gridCol w:w="1100"/>
        <w:gridCol w:w="4510"/>
      </w:tblGrid>
      <w:tr w14:paraId="2EDDDCB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3400" w:type="dxa"/>
            <w:vAlign w:val="center"/>
          </w:tcPr>
          <w:p w14:paraId="7FFB5025">
            <w:pPr>
              <w:spacing w:before="20" w:after="20" w:line="252" w:lineRule="auto"/>
              <w:jc w:val="center"/>
              <w:rPr>
                <w:b/>
                <w:sz w:val="21"/>
              </w:rPr>
            </w:pPr>
            <w:r>
              <w:rPr>
                <w:rFonts w:hint="eastAsia"/>
                <w:b/>
                <w:sz w:val="21"/>
              </w:rPr>
              <w:t>编号与命题要求</w:t>
            </w:r>
          </w:p>
        </w:tc>
        <w:tc>
          <w:tcPr>
            <w:tcW w:w="1100" w:type="dxa"/>
            <w:vAlign w:val="center"/>
          </w:tcPr>
          <w:p w14:paraId="7FFB5026">
            <w:pPr>
              <w:spacing w:before="20" w:after="20" w:line="252" w:lineRule="auto"/>
              <w:jc w:val="center"/>
              <w:rPr>
                <w:b/>
                <w:sz w:val="21"/>
              </w:rPr>
            </w:pPr>
            <w:r>
              <w:rPr>
                <w:rFonts w:hint="eastAsia"/>
                <w:b/>
                <w:sz w:val="21"/>
              </w:rPr>
              <w:t>情况</w:t>
            </w:r>
          </w:p>
        </w:tc>
        <w:tc>
          <w:tcPr>
            <w:tcW w:w="4510" w:type="dxa"/>
            <w:vAlign w:val="center"/>
          </w:tcPr>
          <w:p w14:paraId="7FFB5027">
            <w:pPr>
              <w:spacing w:before="20" w:after="20" w:line="252" w:lineRule="auto"/>
              <w:jc w:val="center"/>
              <w:rPr>
                <w:b/>
                <w:sz w:val="21"/>
              </w:rPr>
            </w:pPr>
            <w:r>
              <w:rPr>
                <w:rFonts w:hint="eastAsia"/>
                <w:b/>
                <w:sz w:val="21"/>
              </w:rPr>
              <w:t>实测与落点</w:t>
            </w:r>
          </w:p>
        </w:tc>
      </w:tr>
      <w:tr w14:paraId="702F015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28">
            <w:pPr>
              <w:spacing w:before="20" w:after="20" w:line="252" w:lineRule="auto"/>
              <w:jc w:val="center"/>
              <w:rPr>
                <w:sz w:val="21"/>
              </w:rPr>
            </w:pPr>
            <w:r>
              <w:rPr>
                <w:rFonts w:hint="eastAsia"/>
                <w:sz w:val="21"/>
              </w:rPr>
              <w:t>基01 采集截图与布局，识别可交互元素</w:t>
            </w:r>
          </w:p>
        </w:tc>
        <w:tc>
          <w:tcPr>
            <w:tcW w:w="1100" w:type="dxa"/>
            <w:vAlign w:val="center"/>
          </w:tcPr>
          <w:p w14:paraId="7FFB5029">
            <w:pPr>
              <w:spacing w:before="20" w:after="20" w:line="252" w:lineRule="auto"/>
              <w:jc w:val="center"/>
              <w:rPr>
                <w:sz w:val="21"/>
              </w:rPr>
            </w:pPr>
            <w:r>
              <w:rPr>
                <w:rFonts w:hint="eastAsia"/>
                <w:sz w:val="21"/>
              </w:rPr>
              <w:t>完成</w:t>
            </w:r>
          </w:p>
        </w:tc>
        <w:tc>
          <w:tcPr>
            <w:tcW w:w="4510" w:type="dxa"/>
            <w:vAlign w:val="center"/>
          </w:tcPr>
          <w:p w14:paraId="7FFB502A">
            <w:pPr>
              <w:spacing w:before="20" w:after="20" w:line="252" w:lineRule="auto"/>
              <w:jc w:val="center"/>
              <w:rPr>
                <w:sz w:val="21"/>
              </w:rPr>
            </w:pPr>
            <w:r>
              <w:rPr>
                <w:rFonts w:hint="eastAsia"/>
                <w:sz w:val="21"/>
              </w:rPr>
              <w:t>四路来源（源码、控件树、截图、文字）；1648 节点中仅 70 个带 id</w:t>
            </w:r>
          </w:p>
        </w:tc>
      </w:tr>
      <w:tr w14:paraId="64CCEB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2B">
            <w:pPr>
              <w:spacing w:before="20" w:after="20" w:line="252" w:lineRule="auto"/>
              <w:jc w:val="center"/>
              <w:rPr>
                <w:sz w:val="21"/>
              </w:rPr>
            </w:pPr>
            <w:r>
              <w:rPr>
                <w:rFonts w:hint="eastAsia"/>
                <w:sz w:val="21"/>
              </w:rPr>
              <w:t>挑01 多模态理解截图与布局，识别意图与路径</w:t>
            </w:r>
          </w:p>
        </w:tc>
        <w:tc>
          <w:tcPr>
            <w:tcW w:w="1100" w:type="dxa"/>
            <w:vAlign w:val="center"/>
          </w:tcPr>
          <w:p w14:paraId="7FFB502C">
            <w:pPr>
              <w:spacing w:before="20" w:after="20" w:line="252" w:lineRule="auto"/>
              <w:jc w:val="center"/>
              <w:rPr>
                <w:sz w:val="21"/>
              </w:rPr>
            </w:pPr>
            <w:r>
              <w:rPr>
                <w:rFonts w:hint="eastAsia"/>
                <w:sz w:val="21"/>
              </w:rPr>
              <w:t>超额完成</w:t>
            </w:r>
          </w:p>
        </w:tc>
        <w:tc>
          <w:tcPr>
            <w:tcW w:w="4510" w:type="dxa"/>
            <w:vAlign w:val="center"/>
          </w:tcPr>
          <w:p w14:paraId="7FFB502D">
            <w:pPr>
              <w:spacing w:before="20" w:after="20" w:line="252" w:lineRule="auto"/>
              <w:jc w:val="center"/>
              <w:rPr>
                <w:sz w:val="21"/>
              </w:rPr>
            </w:pPr>
            <w:r>
              <w:rPr>
                <w:rFonts w:hint="eastAsia"/>
                <w:sz w:val="21"/>
              </w:rPr>
              <w:t>视觉与控件树一致性 97.8%（45/46）；免调模型 67.4%</w:t>
            </w:r>
          </w:p>
        </w:tc>
      </w:tr>
      <w:tr w14:paraId="35395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2E">
            <w:pPr>
              <w:spacing w:before="20" w:after="20" w:line="252" w:lineRule="auto"/>
              <w:jc w:val="center"/>
              <w:rPr>
                <w:sz w:val="21"/>
              </w:rPr>
            </w:pPr>
            <w:r>
              <w:rPr>
                <w:rFonts w:hint="eastAsia"/>
                <w:sz w:val="21"/>
              </w:rPr>
              <w:t>基02 至少 3 类控件交互的脚本生成</w:t>
            </w:r>
          </w:p>
        </w:tc>
        <w:tc>
          <w:tcPr>
            <w:tcW w:w="1100" w:type="dxa"/>
            <w:vAlign w:val="center"/>
          </w:tcPr>
          <w:p w14:paraId="7FFB502F">
            <w:pPr>
              <w:spacing w:before="20" w:after="20" w:line="252" w:lineRule="auto"/>
              <w:jc w:val="center"/>
              <w:rPr>
                <w:sz w:val="21"/>
              </w:rPr>
            </w:pPr>
            <w:r>
              <w:rPr>
                <w:rFonts w:hint="eastAsia"/>
                <w:sz w:val="21"/>
              </w:rPr>
              <w:t>完成</w:t>
            </w:r>
          </w:p>
        </w:tc>
        <w:tc>
          <w:tcPr>
            <w:tcW w:w="4510" w:type="dxa"/>
            <w:vAlign w:val="center"/>
          </w:tcPr>
          <w:p w14:paraId="7FFB5030">
            <w:pPr>
              <w:spacing w:before="20" w:after="20" w:line="252" w:lineRule="auto"/>
              <w:jc w:val="center"/>
              <w:rPr>
                <w:sz w:val="21"/>
              </w:rPr>
            </w:pPr>
            <w:r>
              <w:rPr>
                <w:rFonts w:hint="eastAsia"/>
                <w:sz w:val="21"/>
              </w:rPr>
              <w:t>覆盖点击、输入、滑动、返回与断言五类动作；生成 26 条用例</w:t>
            </w:r>
          </w:p>
        </w:tc>
      </w:tr>
      <w:tr w14:paraId="1D93ED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31">
            <w:pPr>
              <w:spacing w:before="20" w:after="20" w:line="252" w:lineRule="auto"/>
              <w:jc w:val="center"/>
              <w:rPr>
                <w:sz w:val="21"/>
              </w:rPr>
            </w:pPr>
            <w:r>
              <w:rPr>
                <w:rFonts w:hint="eastAsia"/>
                <w:sz w:val="21"/>
              </w:rPr>
              <w:t>基03 可复用脚本，含断言，框架可执行</w:t>
            </w:r>
          </w:p>
        </w:tc>
        <w:tc>
          <w:tcPr>
            <w:tcW w:w="1100" w:type="dxa"/>
            <w:vAlign w:val="center"/>
          </w:tcPr>
          <w:p w14:paraId="7FFB5032">
            <w:pPr>
              <w:spacing w:before="20" w:after="20" w:line="252" w:lineRule="auto"/>
              <w:jc w:val="center"/>
              <w:rPr>
                <w:sz w:val="21"/>
              </w:rPr>
            </w:pPr>
            <w:r>
              <w:rPr>
                <w:rFonts w:hint="eastAsia"/>
                <w:sz w:val="21"/>
              </w:rPr>
              <w:t>完成</w:t>
            </w:r>
          </w:p>
        </w:tc>
        <w:tc>
          <w:tcPr>
            <w:tcW w:w="4510" w:type="dxa"/>
            <w:vAlign w:val="center"/>
          </w:tcPr>
          <w:p w14:paraId="7FFB5033">
            <w:pPr>
              <w:spacing w:before="20" w:after="20" w:line="252" w:lineRule="auto"/>
              <w:jc w:val="center"/>
              <w:rPr>
                <w:sz w:val="21"/>
              </w:rPr>
            </w:pPr>
            <w:r>
              <w:rPr>
                <w:rFonts w:hint="eastAsia"/>
                <w:sz w:val="21"/>
              </w:rPr>
              <w:t>静态可执行 92.3%，无断言用例 0 条，可导出 Hypium 脚本</w:t>
            </w:r>
          </w:p>
        </w:tc>
      </w:tr>
      <w:tr w14:paraId="0E6A5A6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34">
            <w:pPr>
              <w:spacing w:before="20" w:after="20" w:line="252" w:lineRule="auto"/>
              <w:jc w:val="center"/>
              <w:rPr>
                <w:sz w:val="21"/>
              </w:rPr>
            </w:pPr>
            <w:r>
              <w:rPr>
                <w:rFonts w:hint="eastAsia"/>
                <w:sz w:val="21"/>
              </w:rPr>
              <w:t>挑02 自然语言生成问题复现脚本</w:t>
            </w:r>
          </w:p>
        </w:tc>
        <w:tc>
          <w:tcPr>
            <w:tcW w:w="1100" w:type="dxa"/>
            <w:vAlign w:val="center"/>
          </w:tcPr>
          <w:p w14:paraId="7FFB5035">
            <w:pPr>
              <w:spacing w:before="20" w:after="20" w:line="252" w:lineRule="auto"/>
              <w:jc w:val="center"/>
              <w:rPr>
                <w:sz w:val="21"/>
              </w:rPr>
            </w:pPr>
            <w:r>
              <w:rPr>
                <w:rFonts w:hint="eastAsia"/>
                <w:sz w:val="21"/>
              </w:rPr>
              <w:t>完成</w:t>
            </w:r>
          </w:p>
        </w:tc>
        <w:tc>
          <w:tcPr>
            <w:tcW w:w="4510" w:type="dxa"/>
            <w:vAlign w:val="center"/>
          </w:tcPr>
          <w:p w14:paraId="7FFB5036">
            <w:pPr>
              <w:spacing w:before="20" w:after="20" w:line="252" w:lineRule="auto"/>
              <w:jc w:val="center"/>
              <w:rPr>
                <w:sz w:val="21"/>
              </w:rPr>
            </w:pPr>
            <w:r>
              <w:rPr>
                <w:rFonts w:hint="eastAsia"/>
                <w:sz w:val="21"/>
              </w:rPr>
              <w:t>真机用例级 23/24 与 22/24，两轮并列</w:t>
            </w:r>
          </w:p>
        </w:tc>
      </w:tr>
      <w:tr w14:paraId="3A8EE2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37">
            <w:pPr>
              <w:spacing w:before="20" w:after="20" w:line="252" w:lineRule="auto"/>
              <w:jc w:val="center"/>
              <w:rPr>
                <w:sz w:val="21"/>
              </w:rPr>
            </w:pPr>
            <w:r>
              <w:rPr>
                <w:rFonts w:hint="eastAsia"/>
                <w:sz w:val="21"/>
              </w:rPr>
              <w:t>挑03 自动探索跳转，生成状态图</w:t>
            </w:r>
          </w:p>
        </w:tc>
        <w:tc>
          <w:tcPr>
            <w:tcW w:w="1100" w:type="dxa"/>
            <w:vAlign w:val="center"/>
          </w:tcPr>
          <w:p w14:paraId="7FFB5038">
            <w:pPr>
              <w:spacing w:before="20" w:after="20" w:line="252" w:lineRule="auto"/>
              <w:jc w:val="center"/>
              <w:rPr>
                <w:sz w:val="21"/>
              </w:rPr>
            </w:pPr>
            <w:r>
              <w:rPr>
                <w:rFonts w:hint="eastAsia"/>
                <w:sz w:val="21"/>
              </w:rPr>
              <w:t>超额完成</w:t>
            </w:r>
          </w:p>
        </w:tc>
        <w:tc>
          <w:tcPr>
            <w:tcW w:w="4510" w:type="dxa"/>
            <w:vAlign w:val="center"/>
          </w:tcPr>
          <w:p w14:paraId="7FFB5039">
            <w:pPr>
              <w:spacing w:before="20" w:after="20" w:line="252" w:lineRule="auto"/>
              <w:jc w:val="center"/>
              <w:rPr>
                <w:sz w:val="21"/>
              </w:rPr>
            </w:pPr>
            <w:r>
              <w:rPr>
                <w:rFonts w:hint="eastAsia"/>
                <w:sz w:val="21"/>
              </w:rPr>
              <w:t>3/3 页、5 个状态、7 条跳转</w:t>
            </w:r>
          </w:p>
        </w:tc>
      </w:tr>
      <w:tr w14:paraId="5960C2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3A">
            <w:pPr>
              <w:spacing w:before="20" w:after="20" w:line="252" w:lineRule="auto"/>
              <w:jc w:val="center"/>
              <w:rPr>
                <w:sz w:val="21"/>
              </w:rPr>
            </w:pPr>
            <w:r>
              <w:rPr>
                <w:rFonts w:hint="eastAsia"/>
                <w:sz w:val="21"/>
              </w:rPr>
              <w:t>基04 至少 2 类测试场景</w:t>
            </w:r>
          </w:p>
        </w:tc>
        <w:tc>
          <w:tcPr>
            <w:tcW w:w="1100" w:type="dxa"/>
            <w:vAlign w:val="center"/>
          </w:tcPr>
          <w:p w14:paraId="7FFB503B">
            <w:pPr>
              <w:spacing w:before="20" w:after="20" w:line="252" w:lineRule="auto"/>
              <w:jc w:val="center"/>
              <w:rPr>
                <w:sz w:val="21"/>
              </w:rPr>
            </w:pPr>
            <w:r>
              <w:rPr>
                <w:rFonts w:hint="eastAsia"/>
                <w:sz w:val="21"/>
              </w:rPr>
              <w:t>完成</w:t>
            </w:r>
          </w:p>
        </w:tc>
        <w:tc>
          <w:tcPr>
            <w:tcW w:w="4510" w:type="dxa"/>
            <w:vAlign w:val="center"/>
          </w:tcPr>
          <w:p w14:paraId="7FFB503C">
            <w:pPr>
              <w:spacing w:before="20" w:after="20" w:line="252" w:lineRule="auto"/>
              <w:jc w:val="center"/>
              <w:rPr>
                <w:sz w:val="21"/>
              </w:rPr>
            </w:pPr>
            <w:r>
              <w:rPr>
                <w:rFonts w:hint="eastAsia"/>
                <w:sz w:val="21"/>
              </w:rPr>
              <w:t>问题复现、探索、压力测试、回归四类场景</w:t>
            </w:r>
          </w:p>
        </w:tc>
      </w:tr>
      <w:tr w14:paraId="3176765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3D">
            <w:pPr>
              <w:spacing w:before="20" w:after="20" w:line="252" w:lineRule="auto"/>
              <w:jc w:val="center"/>
              <w:rPr>
                <w:sz w:val="21"/>
              </w:rPr>
            </w:pPr>
            <w:r>
              <w:rPr>
                <w:rFonts w:hint="eastAsia"/>
                <w:sz w:val="21"/>
              </w:rPr>
              <w:t>挑04 压力测试脚本生成四类</w:t>
            </w:r>
          </w:p>
        </w:tc>
        <w:tc>
          <w:tcPr>
            <w:tcW w:w="1100" w:type="dxa"/>
            <w:vAlign w:val="center"/>
          </w:tcPr>
          <w:p w14:paraId="7FFB503E">
            <w:pPr>
              <w:spacing w:before="20" w:after="20" w:line="252" w:lineRule="auto"/>
              <w:jc w:val="center"/>
              <w:rPr>
                <w:sz w:val="21"/>
              </w:rPr>
            </w:pPr>
            <w:r>
              <w:rPr>
                <w:rFonts w:hint="eastAsia"/>
                <w:sz w:val="21"/>
              </w:rPr>
              <w:t>超额完成</w:t>
            </w:r>
          </w:p>
        </w:tc>
        <w:tc>
          <w:tcPr>
            <w:tcW w:w="4510" w:type="dxa"/>
            <w:vAlign w:val="center"/>
          </w:tcPr>
          <w:p w14:paraId="7FFB503F">
            <w:pPr>
              <w:spacing w:before="20" w:after="20" w:line="252" w:lineRule="auto"/>
              <w:jc w:val="center"/>
              <w:rPr>
                <w:sz w:val="21"/>
              </w:rPr>
            </w:pPr>
            <w:r>
              <w:rPr>
                <w:rFonts w:hint="eastAsia"/>
                <w:sz w:val="21"/>
              </w:rPr>
              <w:t>四类齐备并各有真机留痕：重复点击 220 轮 0 失败；连续滑动 20 轮 180 步 0 失败；页面反复进出 90 轮（暴露 1 处用例缺陷）；长时间运行 115 轮 0 失败</w:t>
            </w:r>
          </w:p>
        </w:tc>
      </w:tr>
      <w:tr w14:paraId="6AA7D59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40">
            <w:pPr>
              <w:spacing w:before="20" w:after="20" w:line="252" w:lineRule="auto"/>
              <w:jc w:val="center"/>
              <w:rPr>
                <w:sz w:val="21"/>
              </w:rPr>
            </w:pPr>
            <w:r>
              <w:rPr>
                <w:rFonts w:hint="eastAsia"/>
                <w:sz w:val="21"/>
              </w:rPr>
              <w:t>挑05 识别崩溃、卡死、白屏、无响应</w:t>
            </w:r>
          </w:p>
        </w:tc>
        <w:tc>
          <w:tcPr>
            <w:tcW w:w="1100" w:type="dxa"/>
            <w:vAlign w:val="center"/>
          </w:tcPr>
          <w:p w14:paraId="7FFB5041">
            <w:pPr>
              <w:spacing w:before="20" w:after="20" w:line="252" w:lineRule="auto"/>
              <w:jc w:val="center"/>
              <w:rPr>
                <w:sz w:val="21"/>
              </w:rPr>
            </w:pPr>
            <w:r>
              <w:rPr>
                <w:rFonts w:hint="eastAsia"/>
                <w:sz w:val="21"/>
              </w:rPr>
              <w:t>完成</w:t>
            </w:r>
          </w:p>
        </w:tc>
        <w:tc>
          <w:tcPr>
            <w:tcW w:w="4510" w:type="dxa"/>
            <w:vAlign w:val="center"/>
          </w:tcPr>
          <w:p w14:paraId="7FFB5042">
            <w:pPr>
              <w:spacing w:before="20" w:after="20" w:line="252" w:lineRule="auto"/>
              <w:jc w:val="center"/>
              <w:rPr>
                <w:sz w:val="21"/>
              </w:rPr>
            </w:pPr>
            <w:r>
              <w:rPr>
                <w:rFonts w:hint="eastAsia"/>
                <w:sz w:val="21"/>
              </w:rPr>
              <w:t>六类信号、四分类归因；崩溃与无页面两类已真机注入验证</w:t>
            </w:r>
          </w:p>
        </w:tc>
      </w:tr>
      <w:tr w14:paraId="544688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43">
            <w:pPr>
              <w:spacing w:before="20" w:after="20" w:line="252" w:lineRule="auto"/>
              <w:jc w:val="center"/>
              <w:rPr>
                <w:sz w:val="21"/>
              </w:rPr>
            </w:pPr>
            <w:r>
              <w:rPr>
                <w:rFonts w:hint="eastAsia"/>
                <w:sz w:val="21"/>
              </w:rPr>
              <w:t>挑06 用例沉淀与复用</w:t>
            </w:r>
          </w:p>
        </w:tc>
        <w:tc>
          <w:tcPr>
            <w:tcW w:w="1100" w:type="dxa"/>
            <w:vAlign w:val="center"/>
          </w:tcPr>
          <w:p w14:paraId="7FFB5044">
            <w:pPr>
              <w:spacing w:before="20" w:after="20" w:line="252" w:lineRule="auto"/>
              <w:jc w:val="center"/>
              <w:rPr>
                <w:sz w:val="21"/>
              </w:rPr>
            </w:pPr>
            <w:r>
              <w:rPr>
                <w:rFonts w:hint="eastAsia"/>
                <w:sz w:val="21"/>
              </w:rPr>
              <w:t>完成</w:t>
            </w:r>
          </w:p>
        </w:tc>
        <w:tc>
          <w:tcPr>
            <w:tcW w:w="4510" w:type="dxa"/>
            <w:vAlign w:val="center"/>
          </w:tcPr>
          <w:p w14:paraId="7FFB5045">
            <w:pPr>
              <w:spacing w:before="20" w:after="20" w:line="252" w:lineRule="auto"/>
              <w:jc w:val="center"/>
              <w:rPr>
                <w:sz w:val="21"/>
              </w:rPr>
            </w:pPr>
            <w:r>
              <w:rPr>
                <w:rFonts w:hint="eastAsia"/>
                <w:sz w:val="21"/>
              </w:rPr>
              <w:t>探索轨迹转可重放回归用例</w:t>
            </w:r>
          </w:p>
        </w:tc>
      </w:tr>
      <w:tr w14:paraId="26BBD3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46">
            <w:pPr>
              <w:spacing w:before="20" w:after="20" w:line="252" w:lineRule="auto"/>
              <w:jc w:val="center"/>
              <w:rPr>
                <w:sz w:val="21"/>
              </w:rPr>
            </w:pPr>
            <w:r>
              <w:rPr>
                <w:rFonts w:hint="eastAsia"/>
                <w:sz w:val="21"/>
              </w:rPr>
              <w:t>基05 至少 1 个应用、3 个页面</w:t>
            </w:r>
          </w:p>
        </w:tc>
        <w:tc>
          <w:tcPr>
            <w:tcW w:w="1100" w:type="dxa"/>
            <w:vAlign w:val="center"/>
          </w:tcPr>
          <w:p w14:paraId="7FFB5047">
            <w:pPr>
              <w:spacing w:before="20" w:after="20" w:line="252" w:lineRule="auto"/>
              <w:jc w:val="center"/>
              <w:rPr>
                <w:sz w:val="21"/>
              </w:rPr>
            </w:pPr>
            <w:r>
              <w:rPr>
                <w:rFonts w:hint="eastAsia"/>
                <w:sz w:val="21"/>
              </w:rPr>
              <w:t>超额完成</w:t>
            </w:r>
          </w:p>
        </w:tc>
        <w:tc>
          <w:tcPr>
            <w:tcW w:w="4510" w:type="dxa"/>
            <w:vAlign w:val="center"/>
          </w:tcPr>
          <w:p w14:paraId="7FFB5048">
            <w:pPr>
              <w:spacing w:before="20" w:after="20" w:line="252" w:lineRule="auto"/>
              <w:jc w:val="center"/>
              <w:rPr>
                <w:sz w:val="21"/>
              </w:rPr>
            </w:pPr>
            <w:r>
              <w:rPr>
                <w:rFonts w:hint="eastAsia"/>
                <w:sz w:val="21"/>
              </w:rPr>
              <w:t>13 个应用、46 项样本</w:t>
            </w:r>
          </w:p>
        </w:tc>
      </w:tr>
      <w:tr w14:paraId="2D6A8A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49">
            <w:pPr>
              <w:spacing w:before="20" w:after="20" w:line="252" w:lineRule="auto"/>
              <w:jc w:val="center"/>
              <w:rPr>
                <w:sz w:val="21"/>
              </w:rPr>
            </w:pPr>
            <w:r>
              <w:rPr>
                <w:rFonts w:hint="eastAsia"/>
                <w:sz w:val="21"/>
              </w:rPr>
              <w:t>基06 提交架构文档、说明、结果、报告、演示</w:t>
            </w:r>
          </w:p>
        </w:tc>
        <w:tc>
          <w:tcPr>
            <w:tcW w:w="1100" w:type="dxa"/>
            <w:vAlign w:val="center"/>
          </w:tcPr>
          <w:p w14:paraId="7FFB504A">
            <w:pPr>
              <w:spacing w:before="20" w:after="20" w:line="252" w:lineRule="auto"/>
              <w:jc w:val="center"/>
              <w:rPr>
                <w:sz w:val="21"/>
              </w:rPr>
            </w:pPr>
            <w:r>
              <w:rPr>
                <w:rFonts w:hint="eastAsia"/>
                <w:sz w:val="21"/>
              </w:rPr>
              <w:t>完成</w:t>
            </w:r>
          </w:p>
        </w:tc>
        <w:tc>
          <w:tcPr>
            <w:tcW w:w="4510" w:type="dxa"/>
            <w:vAlign w:val="center"/>
          </w:tcPr>
          <w:p w14:paraId="7FFB504B">
            <w:pPr>
              <w:spacing w:before="20" w:after="20" w:line="252" w:lineRule="auto"/>
              <w:jc w:val="center"/>
              <w:rPr>
                <w:sz w:val="21"/>
              </w:rPr>
            </w:pPr>
            <w:r>
              <w:rPr>
                <w:rFonts w:hint="eastAsia"/>
                <w:sz w:val="21"/>
              </w:rPr>
              <w:t>五份材料齐备</w:t>
            </w:r>
          </w:p>
        </w:tc>
      </w:tr>
      <w:tr w14:paraId="27259BA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3400" w:type="dxa"/>
            <w:vAlign w:val="center"/>
          </w:tcPr>
          <w:p w14:paraId="7FFB504C">
            <w:pPr>
              <w:spacing w:before="20" w:after="20" w:line="252" w:lineRule="auto"/>
              <w:jc w:val="center"/>
              <w:rPr>
                <w:sz w:val="21"/>
              </w:rPr>
            </w:pPr>
            <w:r>
              <w:rPr>
                <w:rFonts w:hint="eastAsia"/>
                <w:sz w:val="21"/>
              </w:rPr>
              <w:t>挑07 可孵化为测试 Agent 或工具</w:t>
            </w:r>
          </w:p>
        </w:tc>
        <w:tc>
          <w:tcPr>
            <w:tcW w:w="1100" w:type="dxa"/>
            <w:vAlign w:val="center"/>
          </w:tcPr>
          <w:p w14:paraId="7FFB504D">
            <w:pPr>
              <w:spacing w:before="20" w:after="20" w:line="252" w:lineRule="auto"/>
              <w:jc w:val="center"/>
              <w:rPr>
                <w:sz w:val="21"/>
              </w:rPr>
            </w:pPr>
            <w:r>
              <w:rPr>
                <w:rFonts w:hint="eastAsia"/>
                <w:sz w:val="21"/>
              </w:rPr>
              <w:t>完成</w:t>
            </w:r>
          </w:p>
        </w:tc>
        <w:tc>
          <w:tcPr>
            <w:tcW w:w="4510" w:type="dxa"/>
            <w:vAlign w:val="center"/>
          </w:tcPr>
          <w:p w14:paraId="7FFB504E">
            <w:pPr>
              <w:spacing w:before="20" w:after="20" w:line="252" w:lineRule="auto"/>
              <w:jc w:val="center"/>
              <w:rPr>
                <w:sz w:val="21"/>
              </w:rPr>
            </w:pPr>
            <w:r>
              <w:rPr>
                <w:rFonts w:hint="eastAsia"/>
                <w:sz w:val="21"/>
              </w:rPr>
              <w:t>命令行工具、离线可跑、脚本导出</w:t>
            </w:r>
          </w:p>
        </w:tc>
      </w:tr>
    </w:tbl>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369273209"/>
      <w:bookmarkStart w:id="97" w:name="_Toc366164744"/>
      <w:bookmarkStart w:id="98" w:name="_Toc244203758"/>
      <w:bookmarkStart w:id="99" w:name="_Toc369273838"/>
      <w:bookmarkStart w:id="100" w:name="_Toc147738863"/>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244203759"/>
      <w:bookmarkStart w:id="103" w:name="_Toc366164745"/>
      <w:bookmarkStart w:id="104" w:name="_Toc369273839"/>
      <w:bookmarkStart w:id="105" w:name="_Toc369273293"/>
      <w:bookmarkStart w:id="106" w:name="_Toc369273210"/>
      <w:bookmarkStart w:id="107" w:name="_Toc147738864"/>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调用的外部接口全部来自OpenHarmony官方工具链与模型服务，经hdc或HTTPS访问，如下表10所示。</w:t>
      </w:r>
    </w:p>
    <w:p w14:paraId="3FF738A3">
      <w:pPr>
        <w:keepNext/>
        <w:jc w:val="center"/>
      </w:pPr>
      <w:r>
        <w:rPr>
          <w:rFonts w:ascii="黑体" w:hAnsi="黑体" w:eastAsia="黑体"/>
          <w:sz w:val="24"/>
        </w:rPr>
        <w:t>表10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366164746"/>
      <w:bookmarkStart w:id="109" w:name="_Toc369273840"/>
      <w:bookmarkStart w:id="110" w:name="_Toc369273211"/>
      <w:bookmarkStart w:id="111" w:name="_Toc369273294"/>
      <w:bookmarkStart w:id="112" w:name="_Toc147738865"/>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API、命令行工具与可执行示例、面向指定测试框架的用例导出，如下表11所示。</w:t>
      </w:r>
    </w:p>
    <w:p w14:paraId="636E0C55">
      <w:pPr>
        <w:keepNext/>
        <w:jc w:val="center"/>
      </w:pPr>
      <w:r>
        <w:rPr>
          <w:rFonts w:ascii="黑体" w:hAnsi="黑体" w:eastAsia="黑体"/>
          <w:sz w:val="24"/>
        </w:rPr>
        <w:t>表11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369273246"/>
      <w:bookmarkStart w:id="115" w:name="_Toc460922687"/>
      <w:bookmarkStart w:id="116" w:name="_Toc369273867"/>
      <w:bookmarkStart w:id="117" w:name="_Toc147738866"/>
      <w:bookmarkStart w:id="118" w:name="_Toc244203761"/>
      <w:bookmarkStart w:id="119" w:name="_Toc369273329"/>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widowControl w:val="0"/>
        <w:tabs>
          <w:tab w:val="left" w:pos="720"/>
        </w:tabs>
        <w:spacing w:before="0" w:after="120"/>
        <w:ind w:left="720" w:hanging="567"/>
        <w:jc w:val="left"/>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团队按模块所有权分工。跨模块改动遵循固定的质量保证流程，依次为代码评审、自动化测试、真机验证与文档同步。成员名单如表12所示。</w:t>
      </w:r>
    </w:p>
    <w:p w14:paraId="3D2B004C">
      <w:pPr>
        <w:keepNext/>
        <w:jc w:val="center"/>
      </w:pPr>
      <w:r>
        <w:rPr>
          <w:rFonts w:ascii="黑体" w:hAnsi="黑体" w:eastAsia="黑体"/>
          <w:sz w:val="24"/>
        </w:rPr>
        <w:t>表12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widowControl w:val="0"/>
        <w:tabs>
          <w:tab w:val="left" w:pos="720"/>
        </w:tabs>
        <w:spacing w:before="0" w:after="120"/>
        <w:ind w:left="720" w:hanging="567"/>
        <w:jc w:val="left"/>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应用拉起是整条链路的起点，也是最容易产生虚假通过的一环。扩展型应用对隐式拉起命令的行为不稳定，而返回码始终为 0，命令执行成功并不代表应用被真正拉起。长时间运行首轮 31 步全部通过，实际全部落在桌面上空转。系统的取舍是把前台核验设为硬性步骤：拉起后等待八秒以上，以页面标记文本存在为准，核验未通过不进入重放。代价是每轮多出数秒等待，换来的是每一步都有可确认的落点。</w:t>
      </w:r>
    </w:p>
    <w:p w14:paraId="66723F6B">
      <w:pPr>
        <w:pStyle w:val="13"/>
        <w:spacing w:line="360" w:lineRule="auto"/>
        <w:ind w:firstLine="480" w:firstLineChars="200"/>
        <w:jc w:val="both"/>
      </w:pPr>
      <w:r>
        <w:rPr>
          <w:sz w:val="24"/>
        </w:rPr>
        <w:t>第二轮长时间运行的 90 个失败步骤集中在同一条用例上，单独执行可以通过，跟在其他用例之后必然失败。根因是生成的用例规格隐含依赖了前序页面状态，而这一依赖在用例文本里并不可见。修复没有改写用例本身，而是在编排器层面引入用例间复位——执行前强制停止应用再显式拉起，使每条用例从确定的初始状态出发。此后连续两轮长时间运行为零失败。代价是每轮多一次冷启动，收益是失败可以归因到具体用例，而不被前序状态污染。</w:t>
      </w:r>
    </w:p>
    <w:p w14:paraId="47F7E46E">
      <w:pPr>
        <w:pStyle w:val="13"/>
        <w:spacing w:line="360" w:lineRule="auto"/>
        <w:ind w:firstLine="480" w:firstLineChars="200"/>
        <w:jc w:val="both"/>
      </w:pPr>
      <w:r>
        <w:rPr>
          <w:sz w:val="24"/>
        </w:rPr>
        <w:t>视觉缓存命中率的首次测量结果恒为 0，与设计预期相悖。排查后确认这是结构性现象而非缺陷：单遍探索中每个页面只处理一次，没有重访就不会有命中，命中率的分母本就不成立。改用多轮重放的设计后，每轮重启让相同页面集合重现，缓存自第二轮起全部命中，三轮达到 67%，真机实测达标。这件事的启示是：测量方法不当时，数字会诚实地指向错误结论，指标必须先有口径，再有数值。</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widowControl w:val="0"/>
        <w:tabs>
          <w:tab w:val="left" w:pos="720"/>
        </w:tabs>
        <w:spacing w:before="0" w:after="120"/>
        <w:ind w:left="720" w:hanging="567"/>
        <w:jc w:val="left"/>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52716F0"/>
    <w:rsid w:val="37AB05F1"/>
    <w:rsid w:val="3983796A"/>
    <w:rsid w:val="40632F94"/>
    <w:rsid w:val="53231E21"/>
    <w:rsid w:val="561546F9"/>
    <w:rsid w:val="56FB2AE9"/>
    <w:rsid w:val="596C083F"/>
    <w:rsid w:val="59DC73F5"/>
    <w:rsid w:val="5FAF21C4"/>
    <w:rsid w:val="68581F99"/>
    <w:rsid w:val="70147557"/>
    <w:rsid w:val="743D04EA"/>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26</Pages>
  <Words>347</Words>
  <Characters>501</Characters>
  <Lines>567</Lines>
  <Paragraphs>597</Paragraphs>
  <TotalTime>33</TotalTime>
  <ScaleCrop>false</ScaleCrop>
  <LinksUpToDate>false</LinksUpToDate>
  <CharactersWithSpaces>569</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2026-10-30T14:39:36Z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B61C9AD0822941E2B26D685C1214F9AB_13</vt:lpwstr>
  </property>
</Properties>
</file>