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20"/>
          <w:szCs w:val="20"/>
        </w:rPr>
        <w:t xml:space="preserve">NOVA MANUFACTURING LTD.</w:t>
      </w:r>
    </w:p>
    <w:p>
      <w:pPr>
        <w:spacing w:after="200"/>
        <w:jc w:val="center"/>
      </w:pPr>
      <w:r>
        <w:rPr>
          <w:rFonts w:ascii="Calibri" w:cs="Calibri" w:eastAsia="Calibri" w:hAnsi="Calibri"/>
          <w:b/>
          <w:bCs/>
          <w:color w:val="1F3A5F"/>
          <w:sz w:val="40"/>
          <w:szCs w:val="40"/>
        </w:rPr>
        <w:t xml:space="preserve">SUPPLIER QUOTATION</w:t>
      </w:r>
    </w:p>
    <w:p>
      <w:pPr>
        <w:spacing w:after="80"/>
        <w:jc w:val="center"/>
      </w:pPr>
      <w:r>
        <w:rPr>
          <w:rFonts w:ascii="Calibri" w:cs="Calibri" w:eastAsia="Calibri" w:hAnsi="Calibri"/>
          <w:b/>
          <w:bCs/>
          <w:color w:val="2E5395"/>
          <w:sz w:val="24"/>
          <w:szCs w:val="24"/>
        </w:rPr>
        <w:t xml:space="preserve">Supplier: Delta_Logistics</w:t>
      </w:r>
    </w:p>
    <w:p>
      <w:pPr>
        <w:spacing w:after="300"/>
        <w:jc w:val="center"/>
      </w:pPr>
      <w:r>
        <w:rPr>
          <w:rFonts w:ascii="Calibri" w:cs="Calibri" w:eastAsia="Calibri" w:hAnsi="Calibri"/>
          <w:i/>
          <w:iCs/>
          <w:color w:val="2E5395"/>
          <w:sz w:val="22"/>
          <w:szCs w:val="22"/>
        </w:rPr>
        <w:t xml:space="preserve">Category: Packaging</w:t>
      </w:r>
    </w:p>
    <w:p>
      <w:pPr>
        <w:pBdr>
          <w:bottom w:val="single" w:color="AAAAAA" w:sz="6" w:space="1"/>
        </w:pBdr>
        <w:spacing w:after="200"/>
      </w:pPr>
    </w:p>
    <w:p>
      <w:pPr>
        <w:pStyle w:val="Heading1"/>
        <w:pBdr>
          <w:bottom w:val="single" w:color="1F3A5F" w:sz="8" w:space="2"/>
        </w:pBdr>
        <w:spacing w:after="160" w:before="360"/>
      </w:pPr>
      <w:r>
        <w:rPr>
          <w:rFonts w:ascii="Calibri" w:cs="Calibri" w:eastAsia="Calibri" w:hAnsi="Calibri"/>
          <w:b/>
          <w:bCs/>
          <w:color w:val="1F3A5F"/>
          <w:sz w:val="26"/>
          <w:szCs w:val="26"/>
        </w:rPr>
        <w:t xml:space="preserve">1. Quotation Identification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Document ID</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NML-QT-DELTA-2026-003</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Version</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1.0</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Valid / Active</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Issue Date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July 20,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Valid Until</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August 19,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Reference Contract Number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NML-SC-DELTA-2026-003</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Contract 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Active (Effective January 1, 2026 – December 31, 2028)</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Name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Delta_Logistics</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Address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750 Harbor Industrial Boulevard, Charleston, South Carolina 29405</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Buyer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Nova Manufacturing Ltd., 1200 Foundry Road, Akron, Ohio 44301</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Category</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Packaging – Corrugated Cartons, Stretch Film, Pallets, Protective/Void-Fill Materials</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2. Products, Pricing &amp; Quantities</w:t>
      </w:r>
    </w:p>
    <w:p>
      <w:pPr>
        <w:spacing w:after="120"/>
      </w:pPr>
      <w:r>
        <w:rPr>
          <w:rFonts w:ascii="Calibri" w:cs="Calibri" w:eastAsia="Calibri" w:hAnsi="Calibri"/>
          <w:color w:val="222222"/>
          <w:sz w:val="20"/>
          <w:szCs w:val="20"/>
        </w:rPr>
        <w:t xml:space="preserve">Pricing, minimum order quantities, and volume discount thresholds below are drawn directly from Supplier Contract NML-SC-DELTA-2026-003. All ordered quantities meet or exceed the contractual Minimum Order Quantity (MOQ) for each item.</w:t>
      </w:r>
    </w:p>
    <w:p>
      <w:pPr>
        <w:spacing w:after="200"/>
      </w:pPr>
    </w:p>
    <w:tbl>
      <w:tblPr>
        <w:tblW w:type="dxa" w:w="1065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050"/>
        <w:gridCol w:w="800"/>
        <w:gridCol w:w="900"/>
        <w:gridCol w:w="1150"/>
        <w:gridCol w:w="950"/>
        <w:gridCol w:w="1050"/>
        <w:gridCol w:w="1150"/>
      </w:tblGrid>
      <w:tr>
        <w:trPr>
          <w:tblHeader/>
        </w:trPr>
        <w:tc>
          <w:tcPr>
            <w:tcW w:type="dxa" w:w="110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Item Code</w:t>
            </w:r>
          </w:p>
        </w:tc>
        <w:tc>
          <w:tcPr>
            <w:tcW w:type="dxa" w:w="250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Description</w:t>
            </w:r>
          </w:p>
        </w:tc>
        <w:tc>
          <w:tcPr>
            <w:tcW w:type="dxa" w:w="105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Unit Price
(USD)</w:t>
            </w:r>
          </w:p>
        </w:tc>
        <w:tc>
          <w:tcPr>
            <w:tcW w:type="dxa" w:w="80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Order
Qty</w:t>
            </w:r>
          </w:p>
        </w:tc>
        <w:tc>
          <w:tcPr>
            <w:tcW w:type="dxa" w:w="90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Contract
MOQ</w:t>
            </w:r>
          </w:p>
        </w:tc>
        <w:tc>
          <w:tcPr>
            <w:tcW w:type="dxa" w:w="115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Line
Subtotal</w:t>
            </w:r>
          </w:p>
        </w:tc>
        <w:tc>
          <w:tcPr>
            <w:tcW w:type="dxa" w:w="95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Volume
Discount</w:t>
            </w:r>
          </w:p>
        </w:tc>
        <w:tc>
          <w:tcPr>
            <w:tcW w:type="dxa" w:w="105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Discount
Amount</w:t>
            </w:r>
          </w:p>
        </w:tc>
        <w:tc>
          <w:tcPr>
            <w:tcW w:type="dxa" w:w="1150"/>
            <w:shd w:fill="1F3A5F"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Net Line
Total</w:t>
            </w:r>
          </w:p>
        </w:tc>
      </w:tr>
      <w:tr>
        <w:tc>
          <w:tcPr>
            <w:tcW w:type="dxa" w:w="1100"/>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PK-BOX-24C</w:t>
            </w:r>
          </w:p>
        </w:tc>
        <w:tc>
          <w:tcPr>
            <w:tcW w:type="dxa" w:w="2500"/>
            <w:tcMar>
              <w:top w:type="dxa" w:w="70"/>
              <w:left w:type="dxa" w:w="80"/>
              <w:bottom w:type="dxa" w:w="70"/>
              <w:right w:type="dxa" w:w="80"/>
            </w:tcMar>
            <w:vAlign w:val="center"/>
          </w:tcPr>
          <w:p>
            <w:pPr>
              <w:jc w:val="left"/>
            </w:pPr>
            <w:r>
              <w:rPr>
                <w:rFonts w:ascii="Calibri" w:cs="Calibri" w:eastAsia="Calibri" w:hAnsi="Calibri"/>
                <w:b w:val="false"/>
                <w:bCs w:val="false"/>
                <w:color w:val="222222"/>
                <w:sz w:val="17"/>
                <w:szCs w:val="17"/>
              </w:rPr>
              <w:t xml:space="preserve">Regular Slotted Container (RSC), double-wall corrugated, 24"x18"x18"</w:t>
            </w:r>
          </w:p>
        </w:tc>
        <w:tc>
          <w:tcPr>
            <w:tcW w:type="dxa" w:w="10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$2.85/carton</w:t>
            </w:r>
          </w:p>
        </w:tc>
        <w:tc>
          <w:tcPr>
            <w:tcW w:type="dxa" w:w="80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6000</w:t>
            </w:r>
          </w:p>
        </w:tc>
        <w:tc>
          <w:tcPr>
            <w:tcW w:type="dxa" w:w="90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500 cartons</w:t>
            </w:r>
          </w:p>
        </w:tc>
        <w:tc>
          <w:tcPr>
            <w:tcW w:type="dxa" w:w="11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$17,100.00</w:t>
            </w:r>
          </w:p>
        </w:tc>
        <w:tc>
          <w:tcPr>
            <w:tcW w:type="dxa" w:w="9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9% applied</w:t>
            </w:r>
          </w:p>
        </w:tc>
        <w:tc>
          <w:tcPr>
            <w:tcW w:type="dxa" w:w="10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$1,539.00</w:t>
            </w:r>
          </w:p>
        </w:tc>
        <w:tc>
          <w:tcPr>
            <w:tcW w:type="dxa" w:w="1150"/>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$15,561.00</w:t>
            </w:r>
          </w:p>
        </w:tc>
      </w:tr>
      <w:tr>
        <w:tc>
          <w:tcPr>
            <w:tcW w:type="dxa" w:w="1100"/>
            <w:shd w:fill="F2F2F2" w:val="clear"/>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PK-WRP-80S</w:t>
            </w:r>
          </w:p>
        </w:tc>
        <w:tc>
          <w:tcPr>
            <w:tcW w:type="dxa" w:w="2500"/>
            <w:shd w:fill="F2F2F2" w:val="clear"/>
            <w:tcMar>
              <w:top w:type="dxa" w:w="70"/>
              <w:left w:type="dxa" w:w="80"/>
              <w:bottom w:type="dxa" w:w="70"/>
              <w:right w:type="dxa" w:w="80"/>
            </w:tcMar>
            <w:vAlign w:val="center"/>
          </w:tcPr>
          <w:p>
            <w:pPr>
              <w:jc w:val="left"/>
            </w:pPr>
            <w:r>
              <w:rPr>
                <w:rFonts w:ascii="Calibri" w:cs="Calibri" w:eastAsia="Calibri" w:hAnsi="Calibri"/>
                <w:b w:val="false"/>
                <w:bCs w:val="false"/>
                <w:color w:val="222222"/>
                <w:sz w:val="17"/>
                <w:szCs w:val="17"/>
              </w:rPr>
              <w:t xml:space="preserve">Machine-Grade Stretch Wrap Film, 80-gauge, 20" x 5,000 ft roll</w:t>
            </w:r>
          </w:p>
        </w:tc>
        <w:tc>
          <w:tcPr>
            <w:tcW w:type="dxa" w:w="10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$46.10/roll</w:t>
            </w:r>
          </w:p>
        </w:tc>
        <w:tc>
          <w:tcPr>
            <w:tcW w:type="dxa" w:w="80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300</w:t>
            </w:r>
          </w:p>
        </w:tc>
        <w:tc>
          <w:tcPr>
            <w:tcW w:type="dxa" w:w="90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40 rolls</w:t>
            </w:r>
          </w:p>
        </w:tc>
        <w:tc>
          <w:tcPr>
            <w:tcW w:type="dxa" w:w="11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$13,830.00</w:t>
            </w:r>
          </w:p>
        </w:tc>
        <w:tc>
          <w:tcPr>
            <w:tcW w:type="dxa" w:w="9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7% applied</w:t>
            </w:r>
          </w:p>
        </w:tc>
        <w:tc>
          <w:tcPr>
            <w:tcW w:type="dxa" w:w="10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$968.10</w:t>
            </w:r>
          </w:p>
        </w:tc>
        <w:tc>
          <w:tcPr>
            <w:tcW w:type="dxa" w:w="1150"/>
            <w:shd w:fill="F2F2F2" w:val="clear"/>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$12,861.90</w:t>
            </w:r>
          </w:p>
        </w:tc>
      </w:tr>
      <w:tr>
        <w:tc>
          <w:tcPr>
            <w:tcW w:type="dxa" w:w="1100"/>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PK-PLT-48G</w:t>
            </w:r>
          </w:p>
        </w:tc>
        <w:tc>
          <w:tcPr>
            <w:tcW w:type="dxa" w:w="2500"/>
            <w:tcMar>
              <w:top w:type="dxa" w:w="70"/>
              <w:left w:type="dxa" w:w="80"/>
              <w:bottom w:type="dxa" w:w="70"/>
              <w:right w:type="dxa" w:w="80"/>
            </w:tcMar>
            <w:vAlign w:val="center"/>
          </w:tcPr>
          <w:p>
            <w:pPr>
              <w:jc w:val="left"/>
            </w:pPr>
            <w:r>
              <w:rPr>
                <w:rFonts w:ascii="Calibri" w:cs="Calibri" w:eastAsia="Calibri" w:hAnsi="Calibri"/>
                <w:b w:val="false"/>
                <w:bCs w:val="false"/>
                <w:color w:val="222222"/>
                <w:sz w:val="17"/>
                <w:szCs w:val="17"/>
              </w:rPr>
              <w:t xml:space="preserve">GMA Standard Pallet, 48"x40", 4-way entry, heat-treated wood</w:t>
            </w:r>
          </w:p>
        </w:tc>
        <w:tc>
          <w:tcPr>
            <w:tcW w:type="dxa" w:w="10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$18.75/pallet</w:t>
            </w:r>
          </w:p>
        </w:tc>
        <w:tc>
          <w:tcPr>
            <w:tcW w:type="dxa" w:w="80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600</w:t>
            </w:r>
          </w:p>
        </w:tc>
        <w:tc>
          <w:tcPr>
            <w:tcW w:type="dxa" w:w="90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100 pallets</w:t>
            </w:r>
          </w:p>
        </w:tc>
        <w:tc>
          <w:tcPr>
            <w:tcW w:type="dxa" w:w="11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$11,250.00</w:t>
            </w:r>
          </w:p>
        </w:tc>
        <w:tc>
          <w:tcPr>
            <w:tcW w:type="dxa" w:w="9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8% @ 1000+ (not met)</w:t>
            </w:r>
          </w:p>
        </w:tc>
        <w:tc>
          <w:tcPr>
            <w:tcW w:type="dxa" w:w="1050"/>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$0.00</w:t>
            </w:r>
          </w:p>
        </w:tc>
        <w:tc>
          <w:tcPr>
            <w:tcW w:type="dxa" w:w="1150"/>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$11,250.00</w:t>
            </w:r>
          </w:p>
        </w:tc>
      </w:tr>
      <w:tr>
        <w:tc>
          <w:tcPr>
            <w:tcW w:type="dxa" w:w="1100"/>
            <w:shd w:fill="F2F2F2" w:val="clear"/>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PK-VFL-15C</w:t>
            </w:r>
          </w:p>
        </w:tc>
        <w:tc>
          <w:tcPr>
            <w:tcW w:type="dxa" w:w="2500"/>
            <w:shd w:fill="F2F2F2" w:val="clear"/>
            <w:tcMar>
              <w:top w:type="dxa" w:w="70"/>
              <w:left w:type="dxa" w:w="80"/>
              <w:bottom w:type="dxa" w:w="70"/>
              <w:right w:type="dxa" w:w="80"/>
            </w:tcMar>
            <w:vAlign w:val="center"/>
          </w:tcPr>
          <w:p>
            <w:pPr>
              <w:jc w:val="left"/>
            </w:pPr>
            <w:r>
              <w:rPr>
                <w:rFonts w:ascii="Calibri" w:cs="Calibri" w:eastAsia="Calibri" w:hAnsi="Calibri"/>
                <w:b w:val="false"/>
                <w:bCs w:val="false"/>
                <w:color w:val="222222"/>
                <w:sz w:val="17"/>
                <w:szCs w:val="17"/>
              </w:rPr>
              <w:t xml:space="preserve">Biodegradable Void-Fill Packing Peanuts, 15 cu. ft. compressed bag</w:t>
            </w:r>
          </w:p>
        </w:tc>
        <w:tc>
          <w:tcPr>
            <w:tcW w:type="dxa" w:w="10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$11.40/bag</w:t>
            </w:r>
          </w:p>
        </w:tc>
        <w:tc>
          <w:tcPr>
            <w:tcW w:type="dxa" w:w="80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450</w:t>
            </w:r>
          </w:p>
        </w:tc>
        <w:tc>
          <w:tcPr>
            <w:tcW w:type="dxa" w:w="90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60 bags</w:t>
            </w:r>
          </w:p>
        </w:tc>
        <w:tc>
          <w:tcPr>
            <w:tcW w:type="dxa" w:w="11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$5,130.00</w:t>
            </w:r>
          </w:p>
        </w:tc>
        <w:tc>
          <w:tcPr>
            <w:tcW w:type="dxa" w:w="9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6% applied</w:t>
            </w:r>
          </w:p>
        </w:tc>
        <w:tc>
          <w:tcPr>
            <w:tcW w:type="dxa" w:w="1050"/>
            <w:shd w:fill="F2F2F2" w:val="clear"/>
            <w:tcMar>
              <w:top w:type="dxa" w:w="70"/>
              <w:left w:type="dxa" w:w="80"/>
              <w:bottom w:type="dxa" w:w="70"/>
              <w:right w:type="dxa" w:w="80"/>
            </w:tcMar>
            <w:vAlign w:val="center"/>
          </w:tcPr>
          <w:p>
            <w:pPr>
              <w:jc w:val="center"/>
            </w:pPr>
            <w:r>
              <w:rPr>
                <w:rFonts w:ascii="Calibri" w:cs="Calibri" w:eastAsia="Calibri" w:hAnsi="Calibri"/>
                <w:b w:val="false"/>
                <w:bCs w:val="false"/>
                <w:color w:val="222222"/>
                <w:sz w:val="17"/>
                <w:szCs w:val="17"/>
              </w:rPr>
              <w:t xml:space="preserve">$307.80</w:t>
            </w:r>
          </w:p>
        </w:tc>
        <w:tc>
          <w:tcPr>
            <w:tcW w:type="dxa" w:w="1150"/>
            <w:shd w:fill="F2F2F2" w:val="clear"/>
            <w:tcMar>
              <w:top w:type="dxa" w:w="70"/>
              <w:left w:type="dxa" w:w="80"/>
              <w:bottom w:type="dxa" w:w="70"/>
              <w:right w:type="dxa" w:w="80"/>
            </w:tcMar>
            <w:vAlign w:val="center"/>
          </w:tcPr>
          <w:p>
            <w:pPr>
              <w:jc w:val="center"/>
            </w:pPr>
            <w:r>
              <w:rPr>
                <w:rFonts w:ascii="Calibri" w:cs="Calibri" w:eastAsia="Calibri" w:hAnsi="Calibri"/>
                <w:b/>
                <w:bCs/>
                <w:color w:val="222222"/>
                <w:sz w:val="17"/>
                <w:szCs w:val="17"/>
              </w:rPr>
              <w:t xml:space="preserve">$4,822.20</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3. Pricing Summary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tblGrid>
      <w:tr>
        <w:tc>
          <w:tcPr>
            <w:tcW w:type="dxa" w:w="4800"/>
            <w:shd w:fill="DCE6F1" w:val="clear"/>
            <w:tcMar>
              <w:top w:type="dxa" w:w="90"/>
              <w:left w:type="dxa" w:w="140"/>
              <w:bottom w:type="dxa" w:w="90"/>
              <w:right w:type="dxa" w:w="140"/>
            </w:tcMar>
            <w:vAlign w:val="center"/>
          </w:tcPr>
          <w:p>
            <w:r>
              <w:rPr>
                <w:rFonts w:ascii="Calibri" w:cs="Calibri" w:eastAsia="Calibri" w:hAnsi="Calibri"/>
                <w:b/>
                <w:bCs/>
                <w:color w:val="1F3A5F"/>
                <w:sz w:val="20"/>
                <w:szCs w:val="20"/>
              </w:rPr>
              <w:t xml:space="preserve">Gross Total (before discount)</w:t>
            </w:r>
          </w:p>
        </w:tc>
        <w:tc>
          <w:tcPr>
            <w:tcW w:type="dxa" w:w="2500"/>
            <w:tcMar>
              <w:top w:type="dxa" w:w="90"/>
              <w:left w:type="dxa" w:w="140"/>
              <w:bottom w:type="dxa" w:w="90"/>
              <w:right w:type="dxa" w:w="140"/>
            </w:tcMar>
            <w:vAlign w:val="center"/>
          </w:tcPr>
          <w:p>
            <w:pPr>
              <w:jc w:val="right"/>
            </w:pPr>
            <w:r>
              <w:rPr>
                <w:rFonts w:ascii="Calibri" w:cs="Calibri" w:eastAsia="Calibri" w:hAnsi="Calibri"/>
                <w:b/>
                <w:bCs/>
                <w:color w:val="222222"/>
                <w:sz w:val="20"/>
                <w:szCs w:val="20"/>
              </w:rPr>
              <w:t xml:space="preserve">$47,310.00</w:t>
            </w:r>
          </w:p>
        </w:tc>
      </w:tr>
      <w:tr>
        <w:tc>
          <w:tcPr>
            <w:tcW w:type="dxa" w:w="4800"/>
            <w:shd w:fill="DCE6F1" w:val="clear"/>
            <w:tcMar>
              <w:top w:type="dxa" w:w="90"/>
              <w:left w:type="dxa" w:w="140"/>
              <w:bottom w:type="dxa" w:w="90"/>
              <w:right w:type="dxa" w:w="140"/>
            </w:tcMar>
            <w:vAlign w:val="center"/>
          </w:tcPr>
          <w:p>
            <w:r>
              <w:rPr>
                <w:rFonts w:ascii="Calibri" w:cs="Calibri" w:eastAsia="Calibri" w:hAnsi="Calibri"/>
                <w:b/>
                <w:bCs/>
                <w:color w:val="1F3A5F"/>
                <w:sz w:val="20"/>
                <w:szCs w:val="20"/>
              </w:rPr>
              <w:t xml:space="preserve">Total Discount</w:t>
            </w:r>
          </w:p>
        </w:tc>
        <w:tc>
          <w:tcPr>
            <w:tcW w:type="dxa" w:w="2500"/>
            <w:tcMar>
              <w:top w:type="dxa" w:w="90"/>
              <w:left w:type="dxa" w:w="140"/>
              <w:bottom w:type="dxa" w:w="90"/>
              <w:right w:type="dxa" w:w="140"/>
            </w:tcMar>
            <w:vAlign w:val="center"/>
          </w:tcPr>
          <w:p>
            <w:pPr>
              <w:jc w:val="right"/>
            </w:pPr>
            <w:r>
              <w:rPr>
                <w:rFonts w:ascii="Calibri" w:cs="Calibri" w:eastAsia="Calibri" w:hAnsi="Calibri"/>
                <w:b/>
                <w:bCs/>
                <w:color w:val="222222"/>
                <w:sz w:val="20"/>
                <w:szCs w:val="20"/>
              </w:rPr>
              <w:t xml:space="preserve">-$2,814.90</w:t>
            </w:r>
          </w:p>
        </w:tc>
      </w:tr>
      <w:tr>
        <w:tc>
          <w:tcPr>
            <w:tcW w:type="dxa" w:w="4800"/>
            <w:shd w:fill="1F3A5F"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Net Quotation Total (USD)</w:t>
            </w:r>
          </w:p>
        </w:tc>
        <w:tc>
          <w:tcPr>
            <w:tcW w:type="dxa" w:w="2500"/>
            <w:shd w:fill="1F3A5F" w:val="clear"/>
            <w:tcMar>
              <w:top w:type="dxa" w:w="90"/>
              <w:left w:type="dxa" w:w="140"/>
              <w:bottom w:type="dxa" w:w="90"/>
              <w:right w:type="dxa" w:w="140"/>
            </w:tcMar>
            <w:vAlign w:val="center"/>
          </w:tcPr>
          <w:p>
            <w:pPr>
              <w:jc w:val="right"/>
            </w:pPr>
            <w:r>
              <w:rPr>
                <w:rFonts w:ascii="Calibri" w:cs="Calibri" w:eastAsia="Calibri" w:hAnsi="Calibri"/>
                <w:b/>
                <w:bCs/>
                <w:color w:val="FFFFFF"/>
                <w:sz w:val="20"/>
                <w:szCs w:val="20"/>
              </w:rPr>
              <w:t xml:space="preserve">$44,495.10</w:t>
            </w:r>
          </w:p>
        </w:tc>
      </w:tr>
    </w:tbl>
    <w:p>
      <w:pPr>
        <w:spacing w:after="100" w:before="200"/>
      </w:pPr>
      <w:r>
        <w:rPr>
          <w:rFonts w:ascii="Calibri" w:cs="Calibri" w:eastAsia="Calibri" w:hAnsi="Calibri"/>
          <w:b/>
          <w:bCs/>
          <w:sz w:val="19"/>
          <w:szCs w:val="19"/>
        </w:rPr>
        <w:t xml:space="preserve">Note: </w:t>
      </w:r>
      <w:r>
        <w:rPr>
          <w:rFonts w:ascii="Calibri" w:cs="Calibri" w:eastAsia="Calibri" w:hAnsi="Calibri"/>
          <w:sz w:val="19"/>
          <w:szCs w:val="19"/>
        </w:rPr>
        <w:t xml:space="preserve">Discounts were applied automatically to line items PK-BOX-24C, PK-WRP-80S, and PK-VFL-15C, as ordered quantities met or exceeded the applicable Contract volume discount thresholds (5,000+ cartons, 250+ rolls, and 400+ bags, respectively). Item PK-PLT-48G did not meet its 1,000-pallet discount threshold at the ordered quantity of 600 pallets and is therefore priced at standard unit rate.</w:t>
      </w:r>
    </w:p>
    <w:p>
      <w:pPr>
        <w:pStyle w:val="Heading1"/>
        <w:pBdr>
          <w:bottom w:val="single" w:color="1F3A5F" w:sz="8" w:space="2"/>
        </w:pBdr>
        <w:spacing w:after="160" w:before="360"/>
      </w:pPr>
      <w:r>
        <w:rPr>
          <w:rFonts w:ascii="Calibri" w:cs="Calibri" w:eastAsia="Calibri" w:hAnsi="Calibri"/>
          <w:b/>
          <w:bCs/>
          <w:color w:val="1F3A5F"/>
          <w:sz w:val="26"/>
          <w:szCs w:val="26"/>
        </w:rPr>
        <w:t xml:space="preserve">4. Commercial Terms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Currency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United States Dollars (USD)</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Payment Terms</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Net 60 days from invoice date; early payment discount of 1.5% available if paid within 20 days (1.5%/20 Net 60), per Contract Section 7</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Lead Time</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15 business days from order acknowledgment for standard-dimension cartons, stretch film, and pallets; 25 business days for custom die-cut, printed, or non-standard configurations requiring new tooling (Contract Section 6)</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Schedule</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Products supplied against individual Purchase Orders and Buyer's rolling 13-week packaging forecast; Supplier maintains a rolling 4-week finished-goods buffer of Buyer's top ten highest-volume packaging items at its Charleston, SC facility (Contract Sections 3 and 6)</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Incoterm</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CPT – Carriage Paid To Buyer's Akron, Ohio receiving dock, Incoterms® 2020; risk of loss transfers to Buyer upon Supplier's delivery to the first carrier</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Location</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Nova Manufacturing Ltd. – Akron, Ohio Receiving Dock, 1200 Foundry Road, Akron, Ohio 44301</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Warranty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12 months from date of delivery, covering defects in material, printing, and workmanship and conformance to rated structural performance (ECT, static load capacity); includes coverage for downstream damage claims directly attributable to packaging failure, up to an aggregate cap of $50,000 per incident (Contract Section 10)</w:t>
            </w:r>
          </w:p>
        </w:tc>
      </w:tr>
      <w:tr>
        <w:tc>
          <w:tcPr>
            <w:tcW w:type="dxa" w:w="28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Late Delivery Remedy</w:t>
            </w:r>
          </w:p>
        </w:tc>
        <w:tc>
          <w:tcPr>
            <w:tcW w:type="dxa" w:w="6640"/>
            <w:tcMar>
              <w:top w:type="dxa" w:w="80"/>
              <w:left w:type="dxa" w:w="120"/>
              <w:bottom w:type="dxa" w:w="80"/>
              <w:right w:type="dxa" w:w="120"/>
            </w:tcMar>
            <w:vAlign w:val="center"/>
          </w:tcPr>
          <w:p>
            <w:r>
              <w:rPr>
                <w:rFonts w:ascii="Calibri" w:cs="Calibri" w:eastAsia="Calibri" w:hAnsi="Calibri"/>
                <w:color w:val="222222"/>
                <w:sz w:val="19"/>
                <w:szCs w:val="19"/>
              </w:rPr>
              <w:t xml:space="preserve">Liquidated damages of 0.75% of the affected Purchase Order line value per business day of delay, up to a maximum of 12% of the affected line value (Contract Section 11)</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5. Quality &amp; Compliance Requirements</w:t>
      </w:r>
    </w:p>
    <w:p>
      <w:pPr>
        <w:pStyle w:val="ListParagraph"/>
        <w:numPr>
          <w:ilvl w:val="0"/>
          <w:numId w:val="1"/>
        </w:numPr>
        <w:spacing w:after="80"/>
      </w:pPr>
      <w:r>
        <w:rPr>
          <w:rFonts w:ascii="Calibri" w:cs="Calibri" w:eastAsia="Calibri" w:hAnsi="Calibri"/>
          <w:color w:val="222222"/>
          <w:sz w:val="20"/>
          <w:szCs w:val="20"/>
        </w:rPr>
        <w:t xml:space="preserve">Supplier shall maintain, throughout the Term, certification to ISO 9001:2015 (Contract Section 8).</w:t>
      </w:r>
    </w:p>
    <w:p>
      <w:pPr>
        <w:pStyle w:val="ListParagraph"/>
        <w:numPr>
          <w:ilvl w:val="0"/>
          <w:numId w:val="1"/>
        </w:numPr>
        <w:spacing w:after="80"/>
      </w:pPr>
      <w:r>
        <w:rPr>
          <w:rFonts w:ascii="Calibri" w:cs="Calibri" w:eastAsia="Calibri" w:hAnsi="Calibri"/>
          <w:color w:val="222222"/>
          <w:sz w:val="20"/>
          <w:szCs w:val="20"/>
        </w:rPr>
        <w:t xml:space="preserve">All corrugated Products shall be manufactured in conformance with FEFCO (European Federation of Corrugated Board Manufacturers) style codes and the Edge Crush Test (ECT) ratings specified per item, including 48 ECT / FEFCO 0201 style for item PK-BOX-24C.</w:t>
      </w:r>
    </w:p>
    <w:p>
      <w:pPr>
        <w:pStyle w:val="ListParagraph"/>
        <w:numPr>
          <w:ilvl w:val="0"/>
          <w:numId w:val="1"/>
        </w:numPr>
        <w:spacing w:after="80"/>
      </w:pPr>
      <w:r>
        <w:rPr>
          <w:rFonts w:ascii="Calibri" w:cs="Calibri" w:eastAsia="Calibri" w:hAnsi="Calibri"/>
          <w:color w:val="222222"/>
          <w:sz w:val="20"/>
          <w:szCs w:val="20"/>
        </w:rPr>
        <w:t xml:space="preserve">Supplier shall conduct, and make available to Buyer upon request, ISTA 3A transit-simulation test reports for any new carton design prior to first production shipment.</w:t>
      </w:r>
    </w:p>
    <w:p>
      <w:pPr>
        <w:pStyle w:val="ListParagraph"/>
        <w:numPr>
          <w:ilvl w:val="0"/>
          <w:numId w:val="1"/>
        </w:numPr>
        <w:spacing w:after="80"/>
      </w:pPr>
      <w:r>
        <w:rPr>
          <w:rFonts w:ascii="Calibri" w:cs="Calibri" w:eastAsia="Calibri" w:hAnsi="Calibri"/>
          <w:color w:val="222222"/>
          <w:sz w:val="20"/>
          <w:szCs w:val="20"/>
        </w:rPr>
        <w:t xml:space="preserve">Wood pallets supplied for export use (item PK-PLT-48G) shall be heat-treated and stamped in accordance with ISPM-15.</w:t>
      </w:r>
    </w:p>
    <w:p>
      <w:pPr>
        <w:pStyle w:val="ListParagraph"/>
        <w:numPr>
          <w:ilvl w:val="0"/>
          <w:numId w:val="1"/>
        </w:numPr>
        <w:spacing w:after="80"/>
      </w:pPr>
      <w:r>
        <w:rPr>
          <w:rFonts w:ascii="Calibri" w:cs="Calibri" w:eastAsia="Calibri" w:hAnsi="Calibri"/>
          <w:color w:val="222222"/>
          <w:sz w:val="20"/>
          <w:szCs w:val="20"/>
        </w:rPr>
        <w:t xml:space="preserve">Biodegradable void-fill packing peanuts (item PK-VFL-15C) shall be starch-based, water-soluble, and certified compostable per ASTM D6400.</w:t>
      </w:r>
    </w:p>
    <w:p>
      <w:pPr>
        <w:pStyle w:val="ListParagraph"/>
        <w:numPr>
          <w:ilvl w:val="0"/>
          <w:numId w:val="1"/>
        </w:numPr>
        <w:spacing w:after="80"/>
      </w:pPr>
      <w:r>
        <w:rPr>
          <w:rFonts w:ascii="Calibri" w:cs="Calibri" w:eastAsia="Calibri" w:hAnsi="Calibri"/>
          <w:color w:val="222222"/>
          <w:sz w:val="20"/>
          <w:szCs w:val="20"/>
        </w:rPr>
        <w:t xml:space="preserve">Stretch wrap film (item PK-WRP-80S) shall meet minimum elongation of 250% and puncture resistance per ASTM D1709.</w:t>
      </w:r>
    </w:p>
    <w:p>
      <w:pPr>
        <w:pStyle w:val="ListParagraph"/>
        <w:numPr>
          <w:ilvl w:val="0"/>
          <w:numId w:val="1"/>
        </w:numPr>
        <w:spacing w:after="80"/>
      </w:pPr>
      <w:r>
        <w:rPr>
          <w:rFonts w:ascii="Calibri" w:cs="Calibri" w:eastAsia="Calibri" w:hAnsi="Calibri"/>
          <w:color w:val="222222"/>
          <w:sz w:val="20"/>
          <w:szCs w:val="20"/>
        </w:rPr>
        <w:t xml:space="preserve">Incoming inspection will be performed by Buyer per ANSI/ASQ Z1.4 General Inspection Level I, Acceptable Quality Level (AQL) 4.0 for cosmetic/dimensional defects and AQL 1.5 for structural defects.</w:t>
      </w:r>
    </w:p>
    <w:p>
      <w:pPr>
        <w:spacing w:after="100" w:before="200"/>
      </w:pPr>
      <w:r>
        <w:rPr>
          <w:rFonts w:ascii="Calibri" w:cs="Calibri" w:eastAsia="Calibri" w:hAnsi="Calibri"/>
          <w:b/>
          <w:bCs/>
          <w:color w:val="2E5395"/>
          <w:sz w:val="22"/>
          <w:szCs w:val="22"/>
        </w:rPr>
        <w:t xml:space="preserve">Required Certificates</w:t>
      </w:r>
    </w:p>
    <w:p>
      <w:pPr>
        <w:pStyle w:val="ListParagraph"/>
        <w:numPr>
          <w:ilvl w:val="0"/>
          <w:numId w:val="1"/>
        </w:numPr>
        <w:spacing w:after="80"/>
      </w:pPr>
      <w:r>
        <w:rPr>
          <w:rFonts w:ascii="Calibri" w:cs="Calibri" w:eastAsia="Calibri" w:hAnsi="Calibri"/>
          <w:color w:val="222222"/>
          <w:sz w:val="20"/>
          <w:szCs w:val="20"/>
        </w:rPr>
        <w:t xml:space="preserve">ISO 9001:2015 Quality Management System certification (maintained throughout the Term).</w:t>
      </w:r>
    </w:p>
    <w:p>
      <w:pPr>
        <w:pStyle w:val="ListParagraph"/>
        <w:numPr>
          <w:ilvl w:val="0"/>
          <w:numId w:val="1"/>
        </w:numPr>
        <w:spacing w:after="80"/>
      </w:pPr>
      <w:r>
        <w:rPr>
          <w:rFonts w:ascii="Calibri" w:cs="Calibri" w:eastAsia="Calibri" w:hAnsi="Calibri"/>
          <w:color w:val="222222"/>
          <w:sz w:val="20"/>
          <w:szCs w:val="20"/>
        </w:rPr>
        <w:t xml:space="preserve">ISPM-15 heat-treatment stamp certification for wood pallets used in export shipments.</w:t>
      </w:r>
    </w:p>
    <w:p>
      <w:pPr>
        <w:pStyle w:val="ListParagraph"/>
        <w:numPr>
          <w:ilvl w:val="0"/>
          <w:numId w:val="1"/>
        </w:numPr>
        <w:spacing w:after="80"/>
      </w:pPr>
      <w:r>
        <w:rPr>
          <w:rFonts w:ascii="Calibri" w:cs="Calibri" w:eastAsia="Calibri" w:hAnsi="Calibri"/>
          <w:color w:val="222222"/>
          <w:sz w:val="20"/>
          <w:szCs w:val="20"/>
        </w:rPr>
        <w:t xml:space="preserve">ISTA 3A transit-simulation test reports, available upon request for any new carton design.</w:t>
      </w:r>
    </w:p>
    <w:p>
      <w:pPr>
        <w:pStyle w:val="ListParagraph"/>
        <w:numPr>
          <w:ilvl w:val="0"/>
          <w:numId w:val="1"/>
        </w:numPr>
        <w:spacing w:after="80"/>
      </w:pPr>
      <w:r>
        <w:rPr>
          <w:rFonts w:ascii="Calibri" w:cs="Calibri" w:eastAsia="Calibri" w:hAnsi="Calibri"/>
          <w:color w:val="222222"/>
          <w:sz w:val="20"/>
          <w:szCs w:val="20"/>
        </w:rPr>
        <w:t xml:space="preserve">ASTM D6400 compostability certification for biodegradable void-fill packing peanuts.</w:t>
      </w:r>
    </w:p>
    <w:p>
      <w:pPr>
        <w:pStyle w:val="Heading1"/>
        <w:pBdr>
          <w:bottom w:val="single" w:color="1F3A5F" w:sz="8" w:space="2"/>
        </w:pBdr>
        <w:spacing w:after="160" w:before="360"/>
      </w:pPr>
      <w:r>
        <w:rPr>
          <w:rFonts w:ascii="Calibri" w:cs="Calibri" w:eastAsia="Calibri" w:hAnsi="Calibri"/>
          <w:b/>
          <w:bCs/>
          <w:color w:val="1F3A5F"/>
          <w:sz w:val="26"/>
          <w:szCs w:val="26"/>
        </w:rPr>
        <w:t xml:space="preserve">6. Assumptions &amp; Exclusions</w:t>
      </w:r>
    </w:p>
    <w:p>
      <w:pPr>
        <w:pStyle w:val="ListParagraph"/>
        <w:numPr>
          <w:ilvl w:val="0"/>
          <w:numId w:val="1"/>
        </w:numPr>
        <w:spacing w:after="80"/>
      </w:pPr>
      <w:r>
        <w:rPr>
          <w:rFonts w:ascii="Calibri" w:cs="Calibri" w:eastAsia="Calibri" w:hAnsi="Calibri"/>
          <w:color w:val="222222"/>
          <w:sz w:val="20"/>
          <w:szCs w:val="20"/>
        </w:rPr>
        <w:t xml:space="preserve">All unit pricing, minimum order quantities, and volume discount thresholds are drawn directly from the active Supplier Contract (NML-SC-DELTA-2026-003) and remain fixed for the Initial Term, subject to the price adjustment mechanism in Contract Section 5.1.</w:t>
      </w:r>
    </w:p>
    <w:p>
      <w:pPr>
        <w:pStyle w:val="ListParagraph"/>
        <w:numPr>
          <w:ilvl w:val="0"/>
          <w:numId w:val="1"/>
        </w:numPr>
        <w:spacing w:after="80"/>
      </w:pPr>
      <w:r>
        <w:rPr>
          <w:rFonts w:ascii="Calibri" w:cs="Calibri" w:eastAsia="Calibri" w:hAnsi="Calibri"/>
          <w:color w:val="222222"/>
          <w:sz w:val="20"/>
          <w:szCs w:val="20"/>
        </w:rPr>
        <w:t xml:space="preserve">Ordered quantities for each line meet or exceed the contractual Minimum Order Quantity; where the ordered quantity also meets the applicable volume discount threshold, the corresponding discount has been applied automatically. Where the threshold is not met, no discount has been applied.</w:t>
      </w:r>
    </w:p>
    <w:p>
      <w:pPr>
        <w:pStyle w:val="ListParagraph"/>
        <w:numPr>
          <w:ilvl w:val="0"/>
          <w:numId w:val="1"/>
        </w:numPr>
        <w:spacing w:after="80"/>
      </w:pPr>
      <w:r>
        <w:rPr>
          <w:rFonts w:ascii="Calibri" w:cs="Calibri" w:eastAsia="Calibri" w:hAnsi="Calibri"/>
          <w:color w:val="222222"/>
          <w:sz w:val="20"/>
          <w:szCs w:val="20"/>
        </w:rPr>
        <w:t xml:space="preserve">Applicable sales, use, or excise taxes are excluded from all prices shown and will be stated separately on Supplier's invoice, consistent with Contract Section 5.</w:t>
      </w:r>
    </w:p>
    <w:p>
      <w:pPr>
        <w:pStyle w:val="ListParagraph"/>
        <w:numPr>
          <w:ilvl w:val="0"/>
          <w:numId w:val="1"/>
        </w:numPr>
        <w:spacing w:after="80"/>
      </w:pPr>
      <w:r>
        <w:rPr>
          <w:rFonts w:ascii="Calibri" w:cs="Calibri" w:eastAsia="Calibri" w:hAnsi="Calibri"/>
          <w:color w:val="222222"/>
          <w:sz w:val="20"/>
          <w:szCs w:val="20"/>
        </w:rPr>
        <w:t xml:space="preserve">Carriage to Buyer's Akron, Ohio receiving dock is included in unit pricing under the CPT Incoterm; risk of loss transfers to Buyer upon Supplier's delivery to the first carrier, not upon arrival at destination.</w:t>
      </w:r>
    </w:p>
    <w:p>
      <w:pPr>
        <w:pStyle w:val="ListParagraph"/>
        <w:numPr>
          <w:ilvl w:val="0"/>
          <w:numId w:val="1"/>
        </w:numPr>
        <w:spacing w:after="80"/>
      </w:pPr>
      <w:r>
        <w:rPr>
          <w:rFonts w:ascii="Calibri" w:cs="Calibri" w:eastAsia="Calibri" w:hAnsi="Calibri"/>
          <w:color w:val="222222"/>
          <w:sz w:val="20"/>
          <w:szCs w:val="20"/>
        </w:rPr>
        <w:t xml:space="preserve">This Quotation is issued for planning and purchase requisition purposes and does not itself constitute a Purchase Order; a formal Purchase Order referencing this Quotation and the Contract Number must be issued in accordance with the Procurement Policy (NML-POL-PROC-001) prior to order fulfillment.</w:t>
      </w:r>
    </w:p>
    <w:p>
      <w:pPr>
        <w:pStyle w:val="ListParagraph"/>
        <w:numPr>
          <w:ilvl w:val="0"/>
          <w:numId w:val="1"/>
        </w:numPr>
        <w:spacing w:after="80"/>
      </w:pPr>
      <w:r>
        <w:rPr>
          <w:rFonts w:ascii="Calibri" w:cs="Calibri" w:eastAsia="Calibri" w:hAnsi="Calibri"/>
          <w:color w:val="222222"/>
          <w:sz w:val="20"/>
          <w:szCs w:val="20"/>
        </w:rPr>
        <w:t xml:space="preserve">Pricing is valid through the date stated in the Quotation Identification section above, after which prices are subject to reconfirmation against the then-current Contract terms.</w:t>
      </w:r>
    </w:p>
    <w:p>
      <w:pPr>
        <w:pStyle w:val="Heading1"/>
        <w:pBdr>
          <w:bottom w:val="single" w:color="1F3A5F" w:sz="8" w:space="2"/>
        </w:pBdr>
        <w:spacing w:after="160" w:before="360"/>
      </w:pPr>
      <w:r>
        <w:rPr>
          <w:rFonts w:ascii="Calibri" w:cs="Calibri" w:eastAsia="Calibri" w:hAnsi="Calibri"/>
          <w:b/>
          <w:bCs/>
          <w:color w:val="1F3A5F"/>
          <w:sz w:val="26"/>
          <w:szCs w:val="26"/>
        </w:rPr>
        <w:t xml:space="preserve">7. Authorization</w:t>
      </w:r>
    </w:p>
    <w:p>
      <w:pPr>
        <w:spacing w:after="120"/>
      </w:pPr>
      <w:r>
        <w:rPr>
          <w:rFonts w:ascii="Calibri" w:cs="Calibri" w:eastAsia="Calibri" w:hAnsi="Calibri"/>
          <w:color w:val="222222"/>
          <w:sz w:val="20"/>
          <w:szCs w:val="20"/>
        </w:rPr>
        <w:t xml:space="preserve">This Quotation is submitted for review and authorization by both Parties, consistent with the terms of Supplier Contract NML-SC-DELTA-2026-003 and Nova Manufacturing Ltd.'s Procurement Policy (NML-POL-PROC-001).</w:t>
      </w:r>
    </w:p>
    <w:p>
      <w:pPr>
        <w:spacing w:before="200"/>
      </w:pPr>
    </w:p>
    <w:p>
      <w:pPr>
        <w:spacing w:after="100" w:before="200"/>
      </w:pPr>
      <w:r>
        <w:rPr>
          <w:rFonts w:ascii="Calibri" w:cs="Calibri" w:eastAsia="Calibri" w:hAnsi="Calibri"/>
          <w:b/>
          <w:bCs/>
          <w:color w:val="2E5395"/>
          <w:sz w:val="22"/>
          <w:szCs w:val="22"/>
        </w:rPr>
        <w:t xml:space="preserve">BUYER</w:t>
      </w:r>
    </w:p>
    <w:p>
      <w:pPr>
        <w:spacing w:after="120"/>
      </w:pPr>
      <w:r>
        <w:rPr>
          <w:rFonts w:ascii="Calibri" w:cs="Calibri" w:eastAsia="Calibri" w:hAnsi="Calibri"/>
          <w:color w:val="222222"/>
          <w:sz w:val="20"/>
          <w:szCs w:val="20"/>
        </w:rPr>
        <w:t xml:space="preserve">Nova Manufacturing Ltd.</w:t>
      </w:r>
    </w:p>
    <w:p>
      <w:pPr>
        <w:spacing w:after="120"/>
      </w:pPr>
      <w:r>
        <w:rPr>
          <w:rFonts w:ascii="Calibri" w:cs="Calibri" w:eastAsia="Calibri" w:hAnsi="Calibri"/>
          <w:color w:val="222222"/>
          <w:sz w:val="20"/>
          <w:szCs w:val="20"/>
        </w:rPr>
        <w:t xml:space="preserve">1200 Foundry Road, Akron, Ohio 44301</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100"/>
      </w:pPr>
      <w:r>
        <w:rPr>
          <w:rFonts w:ascii="Calibri" w:cs="Calibri" w:eastAsia="Calibri" w:hAnsi="Calibri"/>
          <w:sz w:val="20"/>
          <w:szCs w:val="20"/>
        </w:rPr>
        <w:t xml:space="preserve">Title: __________________________________</w:t>
      </w:r>
    </w:p>
    <w:p>
      <w:pPr>
        <w:spacing w:after="300"/>
      </w:pPr>
      <w:r>
        <w:rPr>
          <w:rFonts w:ascii="Calibri" w:cs="Calibri" w:eastAsia="Calibri" w:hAnsi="Calibri"/>
          <w:sz w:val="20"/>
          <w:szCs w:val="20"/>
        </w:rPr>
        <w:t xml:space="preserve">Date: __________________________________</w:t>
      </w:r>
    </w:p>
    <w:p>
      <w:pPr>
        <w:spacing w:after="100" w:before="200"/>
      </w:pPr>
      <w:r>
        <w:rPr>
          <w:rFonts w:ascii="Calibri" w:cs="Calibri" w:eastAsia="Calibri" w:hAnsi="Calibri"/>
          <w:b/>
          <w:bCs/>
          <w:color w:val="2E5395"/>
          <w:sz w:val="22"/>
          <w:szCs w:val="22"/>
        </w:rPr>
        <w:t xml:space="preserve">SUPPLIER</w:t>
      </w:r>
    </w:p>
    <w:p>
      <w:pPr>
        <w:spacing w:after="120"/>
      </w:pPr>
      <w:r>
        <w:rPr>
          <w:rFonts w:ascii="Calibri" w:cs="Calibri" w:eastAsia="Calibri" w:hAnsi="Calibri"/>
          <w:color w:val="222222"/>
          <w:sz w:val="20"/>
          <w:szCs w:val="20"/>
        </w:rPr>
        <w:t xml:space="preserve">Delta_Logistics</w:t>
      </w:r>
    </w:p>
    <w:p>
      <w:pPr>
        <w:spacing w:after="120"/>
      </w:pPr>
      <w:r>
        <w:rPr>
          <w:rFonts w:ascii="Calibri" w:cs="Calibri" w:eastAsia="Calibri" w:hAnsi="Calibri"/>
          <w:color w:val="222222"/>
          <w:sz w:val="20"/>
          <w:szCs w:val="20"/>
        </w:rPr>
        <w:t xml:space="preserve">750 Harbor Industrial Boulevard, Charleston, South Carolina 29405</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100"/>
      </w:pPr>
      <w:r>
        <w:rPr>
          <w:rFonts w:ascii="Calibri" w:cs="Calibri" w:eastAsia="Calibri" w:hAnsi="Calibri"/>
          <w:sz w:val="20"/>
          <w:szCs w:val="20"/>
        </w:rPr>
        <w:t xml:space="preserve">Title: __________________________________</w:t>
      </w:r>
    </w:p>
    <w:p>
      <w:pPr>
        <w:spacing w:after="300"/>
      </w:pPr>
      <w:r>
        <w:rPr>
          <w:rFonts w:ascii="Calibri" w:cs="Calibri" w:eastAsia="Calibri" w:hAnsi="Calibri"/>
          <w:sz w:val="20"/>
          <w:szCs w:val="20"/>
        </w:rPr>
        <w:t xml:space="preserve">Date: 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NML-QT-DELTA-2026-003  |  Confidential — Contains Commercial Terms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Nova Manufacturing Ltd. — Supplier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2026-07-20T07:35:30.257Z</dcterms:created>
  <dcterms:modified xsi:type="dcterms:W3CDTF">2026-07-20T07:35:30.257Z</dcterms:modified>
</cp:coreProperties>
</file>

<file path=docProps/custom.xml><?xml version="1.0" encoding="utf-8"?>
<Properties xmlns="http://schemas.openxmlformats.org/officeDocument/2006/custom-properties" xmlns:vt="http://schemas.openxmlformats.org/officeDocument/2006/docPropsVTypes"/>
</file>