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A5F"/>
          <w:sz w:val="20"/>
          <w:szCs w:val="20"/>
        </w:rPr>
        <w:t xml:space="preserve">NOVA MANUFACTURING LTD.</w:t>
      </w:r>
    </w:p>
    <w:p>
      <w:pPr>
        <w:spacing w:after="200"/>
        <w:jc w:val="center"/>
      </w:pPr>
      <w:r>
        <w:rPr>
          <w:rFonts w:ascii="Calibri" w:cs="Calibri" w:eastAsia="Calibri" w:hAnsi="Calibri"/>
          <w:b/>
          <w:bCs/>
          <w:color w:val="1F3A5F"/>
          <w:sz w:val="40"/>
          <w:szCs w:val="40"/>
        </w:rPr>
        <w:t xml:space="preserve">SUPPLIER QUOTATION</w:t>
      </w:r>
    </w:p>
    <w:p>
      <w:pPr>
        <w:spacing w:after="80"/>
        <w:jc w:val="center"/>
      </w:pPr>
      <w:r>
        <w:rPr>
          <w:rFonts w:ascii="Calibri" w:cs="Calibri" w:eastAsia="Calibri" w:hAnsi="Calibri"/>
          <w:b/>
          <w:bCs/>
          <w:color w:val="2E5395"/>
          <w:sz w:val="24"/>
          <w:szCs w:val="24"/>
        </w:rPr>
        <w:t xml:space="preserve">Supplier: Epsilon_Group</w:t>
      </w:r>
    </w:p>
    <w:p>
      <w:pPr>
        <w:spacing w:after="300"/>
        <w:jc w:val="center"/>
      </w:pPr>
      <w:r>
        <w:rPr>
          <w:rFonts w:ascii="Calibri" w:cs="Calibri" w:eastAsia="Calibri" w:hAnsi="Calibri"/>
          <w:i/>
          <w:iCs/>
          <w:color w:val="2E5395"/>
          <w:sz w:val="22"/>
          <w:szCs w:val="22"/>
        </w:rPr>
        <w:t xml:space="preserve">Category: Raw Materials</w:t>
      </w:r>
    </w:p>
    <w:p>
      <w:pPr>
        <w:pBdr>
          <w:bottom w:val="single" w:color="AAAAAA" w:sz="6" w:space="1"/>
        </w:pBdr>
        <w:spacing w:after="200"/>
      </w:pPr>
    </w:p>
    <w:p>
      <w:pPr>
        <w:pStyle w:val="Heading1"/>
        <w:pBdr>
          <w:bottom w:val="single" w:color="1F3A5F" w:sz="8" w:space="2"/>
        </w:pBdr>
        <w:spacing w:after="160" w:before="360"/>
      </w:pPr>
      <w:r>
        <w:rPr>
          <w:rFonts w:ascii="Calibri" w:cs="Calibri" w:eastAsia="Calibri" w:hAnsi="Calibri"/>
          <w:b/>
          <w:bCs/>
          <w:color w:val="1F3A5F"/>
          <w:sz w:val="26"/>
          <w:szCs w:val="26"/>
        </w:rPr>
        <w:t xml:space="preserve">1. Quotation Identification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Document ID</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NML-QT-EPSILON-2026-004</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Version</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1.0</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Status</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Valid / Active</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Issue Date</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July 20, 2026</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Valid Until</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August 19, 2026</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Reference Contract Number</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NML-SC-EPSILON-2026-004</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Contract Status</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Active (Effective January 1, 2026 – December 31, 2028)</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Supplier Name</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Epsilon_Group</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Supplier Address</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900 Furnace Row, Gary, Indiana 46402</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Buyer</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Nova Manufacturing Ltd., 1200 Foundry Road, Akron, Ohio 44301</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Category</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Raw Materials – Steel Coil, Aluminum Sheet, Alloy Bar Stock, Engineering Resin</w:t>
            </w:r>
          </w:p>
        </w:tc>
      </w:tr>
    </w:tbl>
    <w:p>
      <w:pPr>
        <w:pStyle w:val="Heading1"/>
        <w:pBdr>
          <w:bottom w:val="single" w:color="1F3A5F" w:sz="8" w:space="2"/>
        </w:pBdr>
        <w:spacing w:after="160" w:before="360"/>
      </w:pPr>
      <w:r>
        <w:rPr>
          <w:rFonts w:ascii="Calibri" w:cs="Calibri" w:eastAsia="Calibri" w:hAnsi="Calibri"/>
          <w:b/>
          <w:bCs/>
          <w:color w:val="1F3A5F"/>
          <w:sz w:val="26"/>
          <w:szCs w:val="26"/>
        </w:rPr>
        <w:t xml:space="preserve">2. Materials, Pricing &amp; Quantities</w:t>
      </w:r>
    </w:p>
    <w:p>
      <w:pPr>
        <w:spacing w:after="120"/>
      </w:pPr>
      <w:r>
        <w:rPr>
          <w:rFonts w:ascii="Calibri" w:cs="Calibri" w:eastAsia="Calibri" w:hAnsi="Calibri"/>
          <w:color w:val="222222"/>
          <w:sz w:val="20"/>
          <w:szCs w:val="20"/>
        </w:rPr>
        <w:t xml:space="preserve">Pricing, minimum order quantities, and volume rebate thresholds below are drawn directly from Supplier Contract NML-SC-EPSILON-2026-004. All ordered quantities meet or exceed the contractual Minimum Order Quantity (MOQ) for each Material.</w:t>
      </w:r>
    </w:p>
    <w:p>
      <w:pPr>
        <w:spacing w:after="200"/>
      </w:pPr>
    </w:p>
    <w:tbl>
      <w:tblPr>
        <w:tblW w:type="dxa" w:w="10650"/>
        <w:tblBorders>
          <w:top w:val="single" w:color="auto" w:sz="4"/>
          <w:left w:val="single" w:color="auto" w:sz="4"/>
          <w:bottom w:val="single" w:color="auto" w:sz="4"/>
          <w:right w:val="single" w:color="auto" w:sz="4"/>
          <w:insideH w:val="single" w:color="auto" w:sz="4"/>
          <w:insideV w:val="single" w:color="auto" w:sz="4"/>
        </w:tblBorders>
      </w:tblPr>
      <w:tblGrid>
        <w:gridCol w:w="1050"/>
        <w:gridCol w:w="2350"/>
        <w:gridCol w:w="1150"/>
        <w:gridCol w:w="950"/>
        <w:gridCol w:w="1000"/>
        <w:gridCol w:w="1100"/>
        <w:gridCol w:w="950"/>
        <w:gridCol w:w="1000"/>
        <w:gridCol w:w="1100"/>
      </w:tblGrid>
      <w:tr>
        <w:trPr>
          <w:tblHeader/>
        </w:trPr>
        <w:tc>
          <w:tcPr>
            <w:tcW w:type="dxa" w:w="105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Material
Code</w:t>
            </w:r>
          </w:p>
        </w:tc>
        <w:tc>
          <w:tcPr>
            <w:tcW w:type="dxa" w:w="235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Description</w:t>
            </w:r>
          </w:p>
        </w:tc>
        <w:tc>
          <w:tcPr>
            <w:tcW w:type="dxa" w:w="115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Unit Price
(USD)</w:t>
            </w:r>
          </w:p>
        </w:tc>
        <w:tc>
          <w:tcPr>
            <w:tcW w:type="dxa" w:w="95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Order
Qty</w:t>
            </w:r>
          </w:p>
        </w:tc>
        <w:tc>
          <w:tcPr>
            <w:tcW w:type="dxa" w:w="100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Contract
MOQ</w:t>
            </w:r>
          </w:p>
        </w:tc>
        <w:tc>
          <w:tcPr>
            <w:tcW w:type="dxa" w:w="110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Line
Subtotal</w:t>
            </w:r>
          </w:p>
        </w:tc>
        <w:tc>
          <w:tcPr>
            <w:tcW w:type="dxa" w:w="95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Volume
Rebate</w:t>
            </w:r>
          </w:p>
        </w:tc>
        <w:tc>
          <w:tcPr>
            <w:tcW w:type="dxa" w:w="100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Rebate
Amount</w:t>
            </w:r>
          </w:p>
        </w:tc>
        <w:tc>
          <w:tcPr>
            <w:tcW w:type="dxa" w:w="110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Net Line
Total</w:t>
            </w:r>
          </w:p>
        </w:tc>
      </w:tr>
      <w:tr>
        <w:tc>
          <w:tcPr>
            <w:tcW w:type="dxa" w:w="105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RM-HRS-050</w:t>
            </w:r>
          </w:p>
        </w:tc>
        <w:tc>
          <w:tcPr>
            <w:tcW w:type="dxa" w:w="2350"/>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Hot-Rolled Steel Coil, 0.250" thickness, 60" width (ASTM A1011 Grade 50)</w:t>
            </w:r>
          </w:p>
        </w:tc>
        <w:tc>
          <w:tcPr>
            <w:tcW w:type="dxa" w:w="11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$47.25/cwt</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180 tons</w:t>
            </w:r>
          </w:p>
        </w:tc>
        <w:tc>
          <w:tcPr>
            <w:tcW w:type="dxa" w:w="10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20 tons</w:t>
            </w:r>
          </w:p>
        </w:tc>
        <w:tc>
          <w:tcPr>
            <w:tcW w:type="dxa" w:w="11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$170,100.00</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 applied</w:t>
            </w:r>
          </w:p>
        </w:tc>
        <w:tc>
          <w:tcPr>
            <w:tcW w:type="dxa" w:w="10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$6,804.00</w:t>
            </w:r>
          </w:p>
        </w:tc>
        <w:tc>
          <w:tcPr>
            <w:tcW w:type="dxa" w:w="110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$163,296.00</w:t>
            </w:r>
          </w:p>
        </w:tc>
      </w:tr>
      <w:tr>
        <w:tc>
          <w:tcPr>
            <w:tcW w:type="dxa" w:w="1050"/>
            <w:shd w:fill="F2F2F2" w:val="clear"/>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RM-ALS-063</w:t>
            </w:r>
          </w:p>
        </w:tc>
        <w:tc>
          <w:tcPr>
            <w:tcW w:type="dxa" w:w="2350"/>
            <w:shd w:fill="F2F2F2" w:val="clear"/>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Aluminum Sheet, 0.063" thickness, 5052-H32 temper (ASTM B209)</w:t>
            </w:r>
          </w:p>
        </w:tc>
        <w:tc>
          <w:tcPr>
            <w:tcW w:type="dxa" w:w="11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$1.92/lb</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65,000 lb</w:t>
            </w:r>
          </w:p>
        </w:tc>
        <w:tc>
          <w:tcPr>
            <w:tcW w:type="dxa" w:w="10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10,000 lb</w:t>
            </w:r>
          </w:p>
        </w:tc>
        <w:tc>
          <w:tcPr>
            <w:tcW w:type="dxa" w:w="11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$124,800.00</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5% applied</w:t>
            </w:r>
          </w:p>
        </w:tc>
        <w:tc>
          <w:tcPr>
            <w:tcW w:type="dxa" w:w="10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$6,240.00</w:t>
            </w:r>
          </w:p>
        </w:tc>
        <w:tc>
          <w:tcPr>
            <w:tcW w:type="dxa" w:w="1100"/>
            <w:shd w:fill="F2F2F2" w:val="clear"/>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$118,560.00</w:t>
            </w:r>
          </w:p>
        </w:tc>
      </w:tr>
      <w:tr>
        <w:tc>
          <w:tcPr>
            <w:tcW w:type="dxa" w:w="105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RM-ABS-100</w:t>
            </w:r>
          </w:p>
        </w:tc>
        <w:tc>
          <w:tcPr>
            <w:tcW w:type="dxa" w:w="2350"/>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Alloy Steel Round Bar, 1.00" diameter, 4140 annealed (ASTM A29)</w:t>
            </w:r>
          </w:p>
        </w:tc>
        <w:tc>
          <w:tcPr>
            <w:tcW w:type="dxa" w:w="11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$1.34/lb</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18,000 lb</w:t>
            </w:r>
          </w:p>
        </w:tc>
        <w:tc>
          <w:tcPr>
            <w:tcW w:type="dxa" w:w="10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5,000 lb</w:t>
            </w:r>
          </w:p>
        </w:tc>
        <w:tc>
          <w:tcPr>
            <w:tcW w:type="dxa" w:w="11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$24,120.00</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5% @ 30,000+ lb/qtr (not met)</w:t>
            </w:r>
          </w:p>
        </w:tc>
        <w:tc>
          <w:tcPr>
            <w:tcW w:type="dxa" w:w="10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$0.00</w:t>
            </w:r>
          </w:p>
        </w:tc>
        <w:tc>
          <w:tcPr>
            <w:tcW w:type="dxa" w:w="110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$24,120.00</w:t>
            </w:r>
          </w:p>
        </w:tc>
      </w:tr>
      <w:tr>
        <w:tc>
          <w:tcPr>
            <w:tcW w:type="dxa" w:w="1050"/>
            <w:shd w:fill="F2F2F2" w:val="clear"/>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RM-PLY-025</w:t>
            </w:r>
          </w:p>
        </w:tc>
        <w:tc>
          <w:tcPr>
            <w:tcW w:type="dxa" w:w="2350"/>
            <w:shd w:fill="F2F2F2" w:val="clear"/>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Engineering Resin Pellets, Nylon 6/6 (PA66), 25kg bag (ASTM D4066)</w:t>
            </w:r>
          </w:p>
        </w:tc>
        <w:tc>
          <w:tcPr>
            <w:tcW w:type="dxa" w:w="11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$3.35/kg</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14,000 kg</w:t>
            </w:r>
          </w:p>
        </w:tc>
        <w:tc>
          <w:tcPr>
            <w:tcW w:type="dxa" w:w="10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2,000 kg</w:t>
            </w:r>
          </w:p>
        </w:tc>
        <w:tc>
          <w:tcPr>
            <w:tcW w:type="dxa" w:w="11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$46,900.00</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6% applied</w:t>
            </w:r>
          </w:p>
        </w:tc>
        <w:tc>
          <w:tcPr>
            <w:tcW w:type="dxa" w:w="10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$2,814.00</w:t>
            </w:r>
          </w:p>
        </w:tc>
        <w:tc>
          <w:tcPr>
            <w:tcW w:type="dxa" w:w="1100"/>
            <w:shd w:fill="F2F2F2" w:val="clear"/>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$44,086.00</w:t>
            </w:r>
          </w:p>
        </w:tc>
      </w:tr>
    </w:tbl>
    <w:p>
      <w:pPr>
        <w:pStyle w:val="Heading1"/>
        <w:pBdr>
          <w:bottom w:val="single" w:color="1F3A5F" w:sz="8" w:space="2"/>
        </w:pBdr>
        <w:spacing w:after="160" w:before="360"/>
      </w:pPr>
      <w:r>
        <w:rPr>
          <w:rFonts w:ascii="Calibri" w:cs="Calibri" w:eastAsia="Calibri" w:hAnsi="Calibri"/>
          <w:b/>
          <w:bCs/>
          <w:color w:val="1F3A5F"/>
          <w:sz w:val="26"/>
          <w:szCs w:val="26"/>
        </w:rPr>
        <w:t xml:space="preserve">3. Pricing Summary</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4800"/>
        <w:gridCol w:w="2500"/>
      </w:tblGrid>
      <w:tr>
        <w:tc>
          <w:tcPr>
            <w:tcW w:type="dxa" w:w="4800"/>
            <w:shd w:fill="DCE6F1" w:val="clear"/>
            <w:tcMar>
              <w:top w:type="dxa" w:w="90"/>
              <w:left w:type="dxa" w:w="140"/>
              <w:bottom w:type="dxa" w:w="90"/>
              <w:right w:type="dxa" w:w="140"/>
            </w:tcMar>
            <w:vAlign w:val="center"/>
          </w:tcPr>
          <w:p>
            <w:r>
              <w:rPr>
                <w:rFonts w:ascii="Calibri" w:cs="Calibri" w:eastAsia="Calibri" w:hAnsi="Calibri"/>
                <w:b/>
                <w:bCs/>
                <w:color w:val="1F3A5F"/>
                <w:sz w:val="20"/>
                <w:szCs w:val="20"/>
              </w:rPr>
              <w:t xml:space="preserve">Gross Total (before rebate)</w:t>
            </w:r>
          </w:p>
        </w:tc>
        <w:tc>
          <w:tcPr>
            <w:tcW w:type="dxa" w:w="2500"/>
            <w:tcMar>
              <w:top w:type="dxa" w:w="90"/>
              <w:left w:type="dxa" w:w="140"/>
              <w:bottom w:type="dxa" w:w="90"/>
              <w:right w:type="dxa" w:w="140"/>
            </w:tcMar>
            <w:vAlign w:val="center"/>
          </w:tcPr>
          <w:p>
            <w:pPr>
              <w:jc w:val="right"/>
            </w:pPr>
            <w:r>
              <w:rPr>
                <w:rFonts w:ascii="Calibri" w:cs="Calibri" w:eastAsia="Calibri" w:hAnsi="Calibri"/>
                <w:b/>
                <w:bCs/>
                <w:color w:val="222222"/>
                <w:sz w:val="20"/>
                <w:szCs w:val="20"/>
              </w:rPr>
              <w:t xml:space="preserve">$365,920.00</w:t>
            </w:r>
          </w:p>
        </w:tc>
      </w:tr>
      <w:tr>
        <w:tc>
          <w:tcPr>
            <w:tcW w:type="dxa" w:w="4800"/>
            <w:shd w:fill="DCE6F1" w:val="clear"/>
            <w:tcMar>
              <w:top w:type="dxa" w:w="90"/>
              <w:left w:type="dxa" w:w="140"/>
              <w:bottom w:type="dxa" w:w="90"/>
              <w:right w:type="dxa" w:w="140"/>
            </w:tcMar>
            <w:vAlign w:val="center"/>
          </w:tcPr>
          <w:p>
            <w:r>
              <w:rPr>
                <w:rFonts w:ascii="Calibri" w:cs="Calibri" w:eastAsia="Calibri" w:hAnsi="Calibri"/>
                <w:b/>
                <w:bCs/>
                <w:color w:val="1F3A5F"/>
                <w:sz w:val="20"/>
                <w:szCs w:val="20"/>
              </w:rPr>
              <w:t xml:space="preserve">Total Volume Rebate</w:t>
            </w:r>
          </w:p>
        </w:tc>
        <w:tc>
          <w:tcPr>
            <w:tcW w:type="dxa" w:w="2500"/>
            <w:tcMar>
              <w:top w:type="dxa" w:w="90"/>
              <w:left w:type="dxa" w:w="140"/>
              <w:bottom w:type="dxa" w:w="90"/>
              <w:right w:type="dxa" w:w="140"/>
            </w:tcMar>
            <w:vAlign w:val="center"/>
          </w:tcPr>
          <w:p>
            <w:pPr>
              <w:jc w:val="right"/>
            </w:pPr>
            <w:r>
              <w:rPr>
                <w:rFonts w:ascii="Calibri" w:cs="Calibri" w:eastAsia="Calibri" w:hAnsi="Calibri"/>
                <w:b/>
                <w:bCs/>
                <w:color w:val="222222"/>
                <w:sz w:val="20"/>
                <w:szCs w:val="20"/>
              </w:rPr>
              <w:t xml:space="preserve">-$15,858.00</w:t>
            </w:r>
          </w:p>
        </w:tc>
      </w:tr>
      <w:tr>
        <w:tc>
          <w:tcPr>
            <w:tcW w:type="dxa" w:w="4800"/>
            <w:shd w:fill="1F3A5F" w:val="clear"/>
            <w:tcMar>
              <w:top w:type="dxa" w:w="90"/>
              <w:left w:type="dxa" w:w="140"/>
              <w:bottom w:type="dxa" w:w="90"/>
              <w:right w:type="dxa" w:w="140"/>
            </w:tcMar>
            <w:vAlign w:val="center"/>
          </w:tcPr>
          <w:p>
            <w:r>
              <w:rPr>
                <w:rFonts w:ascii="Calibri" w:cs="Calibri" w:eastAsia="Calibri" w:hAnsi="Calibri"/>
                <w:b/>
                <w:bCs/>
                <w:color w:val="FFFFFF"/>
                <w:sz w:val="20"/>
                <w:szCs w:val="20"/>
              </w:rPr>
              <w:t xml:space="preserve">Net Quotation Total (USD)</w:t>
            </w:r>
          </w:p>
        </w:tc>
        <w:tc>
          <w:tcPr>
            <w:tcW w:type="dxa" w:w="2500"/>
            <w:shd w:fill="1F3A5F" w:val="clear"/>
            <w:tcMar>
              <w:top w:type="dxa" w:w="90"/>
              <w:left w:type="dxa" w:w="140"/>
              <w:bottom w:type="dxa" w:w="90"/>
              <w:right w:type="dxa" w:w="140"/>
            </w:tcMar>
            <w:vAlign w:val="center"/>
          </w:tcPr>
          <w:p>
            <w:pPr>
              <w:jc w:val="right"/>
            </w:pPr>
            <w:r>
              <w:rPr>
                <w:rFonts w:ascii="Calibri" w:cs="Calibri" w:eastAsia="Calibri" w:hAnsi="Calibri"/>
                <w:b/>
                <w:bCs/>
                <w:color w:val="FFFFFF"/>
                <w:sz w:val="20"/>
                <w:szCs w:val="20"/>
              </w:rPr>
              <w:t xml:space="preserve">$350,062.00</w:t>
            </w:r>
          </w:p>
        </w:tc>
      </w:tr>
    </w:tbl>
    <w:p>
      <w:pPr>
        <w:spacing w:after="100" w:before="200"/>
      </w:pPr>
      <w:r>
        <w:rPr>
          <w:rFonts w:ascii="Calibri" w:cs="Calibri" w:eastAsia="Calibri" w:hAnsi="Calibri"/>
          <w:b/>
          <w:bCs/>
          <w:sz w:val="19"/>
          <w:szCs w:val="19"/>
        </w:rPr>
        <w:t xml:space="preserve">Note: </w:t>
      </w:r>
      <w:r>
        <w:rPr>
          <w:rFonts w:ascii="Calibri" w:cs="Calibri" w:eastAsia="Calibri" w:hAnsi="Calibri"/>
          <w:sz w:val="19"/>
          <w:szCs w:val="19"/>
        </w:rPr>
        <w:t xml:space="preserve">Quarterly volume rebates were applied automatically to line items RM-HRS-050, RM-ALS-063, and RM-PLY-025, as ordered quantities met or exceeded the applicable Contract rebate thresholds (150+ tons/qtr, 60,000+ lb/qtr, and 12,000+ kg/qtr, respectively). Item RM-ABS-100 did not meet its 30,000 lb/qtr rebate threshold at the ordered quantity of 18,000 lb and is therefore priced at standard base unit rate.</w:t>
      </w:r>
    </w:p>
    <w:p>
      <w:pPr>
        <w:pStyle w:val="Heading1"/>
        <w:pBdr>
          <w:bottom w:val="single" w:color="1F3A5F" w:sz="8" w:space="2"/>
        </w:pBdr>
        <w:spacing w:after="160" w:before="360"/>
      </w:pPr>
      <w:r>
        <w:rPr>
          <w:rFonts w:ascii="Calibri" w:cs="Calibri" w:eastAsia="Calibri" w:hAnsi="Calibri"/>
          <w:b/>
          <w:bCs/>
          <w:color w:val="1F3A5F"/>
          <w:sz w:val="26"/>
          <w:szCs w:val="26"/>
        </w:rPr>
        <w:t xml:space="preserve">4. Commercial Terms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6640"/>
      </w:tblGrid>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Currency</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United States Dollars (USD)</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Payment Terms</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Net 45 days from invoice date; early payment discount of 0.5% available if paid within 15 days (0.5%/15 Net 45); quarterly volume rebates per Contract Section 5 apply where trailing-quarter purchase volume for a Material exceeds the stated threshold (Contract Section 7)</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Lead Time</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30 calendar days from order acknowledgment for standard-specification coil, bar, and resin Materials; expedited 20-calendar-day lead time available for up to 15% of quarterly order volume at a 12% expedite premium; 55 calendar days minimum for non-standard widths, gauges, or alloy chemistries requiring a dedicated mill run (Contract Section 6)</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Delivery Schedule</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Materials supplied against individual Purchase Orders and Buyer's rolling 26-week raw material forecast issued under the Contract (Contract Section 3)</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Incoterm</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EXW – Ex Works Supplier's Gary, Indiana mill, Incoterms® 2020; Buyer arranges and bears the cost of transportation, loading beyond making Materials available for collection, insurance, and risk of loss from the point of collection</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Delivery Location</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Ex Works collection point: Epsilon_Group mill and processing facility, 900 Furnace Row, Gary, Indiana 46402</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Warranty</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6 months from date of receipt, or until first productive use by Buyer, whichever occurs first; covers conformance to certified chemical composition and mechanical properties, including reasonable scrap, rework, and downstream processing costs, up to an aggregate cap of $75,000 per incident (Contract Section 10)</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Late Delivery Remedy</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Liquidated damages of 1.25% of the affected Purchase Order line value per calendar day of delay, up to a maximum of 20% of the affected line value (Contract Section 11)</w:t>
            </w:r>
          </w:p>
        </w:tc>
      </w:tr>
    </w:tbl>
    <w:p>
      <w:pPr>
        <w:pStyle w:val="Heading1"/>
        <w:pBdr>
          <w:bottom w:val="single" w:color="1F3A5F" w:sz="8" w:space="2"/>
        </w:pBdr>
        <w:spacing w:after="160" w:before="360"/>
      </w:pPr>
      <w:r>
        <w:rPr>
          <w:rFonts w:ascii="Calibri" w:cs="Calibri" w:eastAsia="Calibri" w:hAnsi="Calibri"/>
          <w:b/>
          <w:bCs/>
          <w:color w:val="1F3A5F"/>
          <w:sz w:val="26"/>
          <w:szCs w:val="26"/>
        </w:rPr>
        <w:t xml:space="preserve">5. Quality &amp; Compliance Requirements</w:t>
      </w:r>
    </w:p>
    <w:p>
      <w:pPr>
        <w:pStyle w:val="ListParagraph"/>
        <w:numPr>
          <w:ilvl w:val="0"/>
          <w:numId w:val="1"/>
        </w:numPr>
        <w:spacing w:after="80"/>
      </w:pPr>
      <w:r>
        <w:rPr>
          <w:rFonts w:ascii="Calibri" w:cs="Calibri" w:eastAsia="Calibri" w:hAnsi="Calibri"/>
          <w:color w:val="222222"/>
          <w:sz w:val="20"/>
          <w:szCs w:val="20"/>
        </w:rPr>
        <w:t xml:space="preserve">Supplier shall maintain, throughout the Term, certification to ISO 9001:2015 (Contract Section 8).</w:t>
      </w:r>
    </w:p>
    <w:p>
      <w:pPr>
        <w:pStyle w:val="ListParagraph"/>
        <w:numPr>
          <w:ilvl w:val="0"/>
          <w:numId w:val="1"/>
        </w:numPr>
        <w:spacing w:after="80"/>
      </w:pPr>
      <w:r>
        <w:rPr>
          <w:rFonts w:ascii="Calibri" w:cs="Calibri" w:eastAsia="Calibri" w:hAnsi="Calibri"/>
          <w:color w:val="222222"/>
          <w:sz w:val="20"/>
          <w:szCs w:val="20"/>
        </w:rPr>
        <w:t xml:space="preserve">All metal Materials shall conform to the applicable ASTM specifications identified in Section 4: ASTM A1011 Grade 50 (RM-HRS-050), ASTM B209 (RM-ALS-063), and ASTM A29 (RM-ABS-100), with full chemical composition and mechanical property data reported on each Mill Test Certificate.</w:t>
      </w:r>
    </w:p>
    <w:p>
      <w:pPr>
        <w:pStyle w:val="ListParagraph"/>
        <w:numPr>
          <w:ilvl w:val="0"/>
          <w:numId w:val="1"/>
        </w:numPr>
        <w:spacing w:after="80"/>
      </w:pPr>
      <w:r>
        <w:rPr>
          <w:rFonts w:ascii="Calibri" w:cs="Calibri" w:eastAsia="Calibri" w:hAnsi="Calibri"/>
          <w:color w:val="222222"/>
          <w:sz w:val="20"/>
          <w:szCs w:val="20"/>
        </w:rPr>
        <w:t xml:space="preserve">Resin Material (RM-PLY-025) shall be manufactured and packaged in a manner that maintains compliance with RoHS 2011/65/EU and REACH declarations where destined for markets subject to those regulations, and shall conform to ASTM D4066 with moisture content ≤ 0.20% at delivery.</w:t>
      </w:r>
    </w:p>
    <w:p>
      <w:pPr>
        <w:pStyle w:val="ListParagraph"/>
        <w:numPr>
          <w:ilvl w:val="0"/>
          <w:numId w:val="1"/>
        </w:numPr>
        <w:spacing w:after="80"/>
      </w:pPr>
      <w:r>
        <w:rPr>
          <w:rFonts w:ascii="Calibri" w:cs="Calibri" w:eastAsia="Calibri" w:hAnsi="Calibri"/>
          <w:color w:val="222222"/>
          <w:sz w:val="20"/>
          <w:szCs w:val="20"/>
        </w:rPr>
        <w:t xml:space="preserve">Supplier shall maintain full heat-lot traceability for all metal Materials for a minimum of ten (10) years from the date of shipment.</w:t>
      </w:r>
    </w:p>
    <w:p>
      <w:pPr>
        <w:pStyle w:val="ListParagraph"/>
        <w:numPr>
          <w:ilvl w:val="0"/>
          <w:numId w:val="1"/>
        </w:numPr>
        <w:spacing w:after="80"/>
      </w:pPr>
      <w:r>
        <w:rPr>
          <w:rFonts w:ascii="Calibri" w:cs="Calibri" w:eastAsia="Calibri" w:hAnsi="Calibri"/>
          <w:color w:val="222222"/>
          <w:sz w:val="20"/>
          <w:szCs w:val="20"/>
        </w:rPr>
        <w:t xml:space="preserve">Incoming inspection will be performed by Buyer, including dimensional verification, visual surface inspection, and periodic independent laboratory verification of Mill Test Certificate data (minimum one verification per 20 shipments per Material), per ASTM A700 (steel) and ASTM B660 (aluminum) sampling guidance.</w:t>
      </w:r>
    </w:p>
    <w:p>
      <w:pPr>
        <w:spacing w:after="100" w:before="200"/>
      </w:pPr>
      <w:r>
        <w:rPr>
          <w:rFonts w:ascii="Calibri" w:cs="Calibri" w:eastAsia="Calibri" w:hAnsi="Calibri"/>
          <w:b/>
          <w:bCs/>
          <w:color w:val="2E5395"/>
          <w:sz w:val="22"/>
          <w:szCs w:val="22"/>
        </w:rPr>
        <w:t xml:space="preserve">Required Certificates</w:t>
      </w:r>
    </w:p>
    <w:p>
      <w:pPr>
        <w:pStyle w:val="ListParagraph"/>
        <w:numPr>
          <w:ilvl w:val="0"/>
          <w:numId w:val="1"/>
        </w:numPr>
        <w:spacing w:after="80"/>
      </w:pPr>
      <w:r>
        <w:rPr>
          <w:rFonts w:ascii="Calibri" w:cs="Calibri" w:eastAsia="Calibri" w:hAnsi="Calibri"/>
          <w:color w:val="222222"/>
          <w:sz w:val="20"/>
          <w:szCs w:val="20"/>
        </w:rPr>
        <w:t xml:space="preserve">Mill Test Certificate (MTC) conforming to EN 10204 Type 3.1, provided with every shipment of metal Materials (RM-HRS-050, RM-ALS-063, RM-ABS-100).</w:t>
      </w:r>
    </w:p>
    <w:p>
      <w:pPr>
        <w:pStyle w:val="ListParagraph"/>
        <w:numPr>
          <w:ilvl w:val="0"/>
          <w:numId w:val="1"/>
        </w:numPr>
        <w:spacing w:after="80"/>
      </w:pPr>
      <w:r>
        <w:rPr>
          <w:rFonts w:ascii="Calibri" w:cs="Calibri" w:eastAsia="Calibri" w:hAnsi="Calibri"/>
          <w:color w:val="222222"/>
          <w:sz w:val="20"/>
          <w:szCs w:val="20"/>
        </w:rPr>
        <w:t xml:space="preserve">Certificate of Analysis (CoA), provided with every shipment of resin Material (RM-PLY-025).</w:t>
      </w:r>
    </w:p>
    <w:p>
      <w:pPr>
        <w:pStyle w:val="ListParagraph"/>
        <w:numPr>
          <w:ilvl w:val="0"/>
          <w:numId w:val="1"/>
        </w:numPr>
        <w:spacing w:after="80"/>
      </w:pPr>
      <w:r>
        <w:rPr>
          <w:rFonts w:ascii="Calibri" w:cs="Calibri" w:eastAsia="Calibri" w:hAnsi="Calibri"/>
          <w:color w:val="222222"/>
          <w:sz w:val="20"/>
          <w:szCs w:val="20"/>
        </w:rPr>
        <w:t xml:space="preserve">ISO 9001:2015 Quality Management System certification (maintained throughout the Term).</w:t>
      </w:r>
    </w:p>
    <w:p>
      <w:pPr>
        <w:pStyle w:val="ListParagraph"/>
        <w:numPr>
          <w:ilvl w:val="0"/>
          <w:numId w:val="1"/>
        </w:numPr>
        <w:spacing w:after="80"/>
      </w:pPr>
      <w:r>
        <w:rPr>
          <w:rFonts w:ascii="Calibri" w:cs="Calibri" w:eastAsia="Calibri" w:hAnsi="Calibri"/>
          <w:color w:val="222222"/>
          <w:sz w:val="20"/>
          <w:szCs w:val="20"/>
        </w:rPr>
        <w:t xml:space="preserve">RoHS 2011/65/EU and REACH compliance declarations for resin Material, where the resulting finished goods are destined for markets subject to those regulations.</w:t>
      </w:r>
    </w:p>
    <w:p>
      <w:pPr>
        <w:pStyle w:val="Heading1"/>
        <w:pBdr>
          <w:bottom w:val="single" w:color="1F3A5F" w:sz="8" w:space="2"/>
        </w:pBdr>
        <w:spacing w:after="160" w:before="360"/>
      </w:pPr>
      <w:r>
        <w:rPr>
          <w:rFonts w:ascii="Calibri" w:cs="Calibri" w:eastAsia="Calibri" w:hAnsi="Calibri"/>
          <w:b/>
          <w:bCs/>
          <w:color w:val="1F3A5F"/>
          <w:sz w:val="26"/>
          <w:szCs w:val="26"/>
        </w:rPr>
        <w:t xml:space="preserve">6. Assumptions &amp; Exclusions</w:t>
      </w:r>
    </w:p>
    <w:p>
      <w:pPr>
        <w:pStyle w:val="ListParagraph"/>
        <w:numPr>
          <w:ilvl w:val="0"/>
          <w:numId w:val="1"/>
        </w:numPr>
        <w:spacing w:after="80"/>
      </w:pPr>
      <w:r>
        <w:rPr>
          <w:rFonts w:ascii="Calibri" w:cs="Calibri" w:eastAsia="Calibri" w:hAnsi="Calibri"/>
          <w:color w:val="222222"/>
          <w:sz w:val="20"/>
          <w:szCs w:val="20"/>
        </w:rPr>
        <w:t xml:space="preserve">All unit pricing, minimum order quantities, and volume rebate thresholds are drawn directly from the active Supplier Contract (NML-SC-EPSILON-2026-004) and remain fixed for the Initial Term, subject to the index-based price adjustment mechanism in Contract Section 5.1.</w:t>
      </w:r>
    </w:p>
    <w:p>
      <w:pPr>
        <w:pStyle w:val="ListParagraph"/>
        <w:numPr>
          <w:ilvl w:val="0"/>
          <w:numId w:val="1"/>
        </w:numPr>
        <w:spacing w:after="80"/>
      </w:pPr>
      <w:r>
        <w:rPr>
          <w:rFonts w:ascii="Calibri" w:cs="Calibri" w:eastAsia="Calibri" w:hAnsi="Calibri"/>
          <w:color w:val="222222"/>
          <w:sz w:val="20"/>
          <w:szCs w:val="20"/>
        </w:rPr>
        <w:t xml:space="preserve">Item RM-HRS-050 is priced per hundredweight (cwt) per the Contract; the ordered quantity of 180 tons equals 3,600 cwt (1 ton = 20 cwt) for line pricing purposes, and the 150-ton/qtr rebate threshold is evaluated on the ton-denominated order quantity.</w:t>
      </w:r>
    </w:p>
    <w:p>
      <w:pPr>
        <w:pStyle w:val="ListParagraph"/>
        <w:numPr>
          <w:ilvl w:val="0"/>
          <w:numId w:val="1"/>
        </w:numPr>
        <w:spacing w:after="80"/>
      </w:pPr>
      <w:r>
        <w:rPr>
          <w:rFonts w:ascii="Calibri" w:cs="Calibri" w:eastAsia="Calibri" w:hAnsi="Calibri"/>
          <w:color w:val="222222"/>
          <w:sz w:val="20"/>
          <w:szCs w:val="20"/>
        </w:rPr>
        <w:t xml:space="preserve">Ordered quantities for each line meet or exceed the contractual Minimum Order Quantity; where the trailing-quarter volume also meets the applicable rebate threshold, the corresponding rebate has been applied automatically. Where the threshold is not met, no rebate has been applied.</w:t>
      </w:r>
    </w:p>
    <w:p>
      <w:pPr>
        <w:pStyle w:val="ListParagraph"/>
        <w:numPr>
          <w:ilvl w:val="0"/>
          <w:numId w:val="1"/>
        </w:numPr>
        <w:spacing w:after="80"/>
      </w:pPr>
      <w:r>
        <w:rPr>
          <w:rFonts w:ascii="Calibri" w:cs="Calibri" w:eastAsia="Calibri" w:hAnsi="Calibri"/>
          <w:color w:val="222222"/>
          <w:sz w:val="20"/>
          <w:szCs w:val="20"/>
        </w:rPr>
        <w:t xml:space="preserve">Applicable sales, use, or excise taxes are excluded from all prices shown and will be stated separately on Supplier's invoice, consistent with Contract Section 5.</w:t>
      </w:r>
    </w:p>
    <w:p>
      <w:pPr>
        <w:pStyle w:val="ListParagraph"/>
        <w:numPr>
          <w:ilvl w:val="0"/>
          <w:numId w:val="1"/>
        </w:numPr>
        <w:spacing w:after="80"/>
      </w:pPr>
      <w:r>
        <w:rPr>
          <w:rFonts w:ascii="Calibri" w:cs="Calibri" w:eastAsia="Calibri" w:hAnsi="Calibri"/>
          <w:color w:val="222222"/>
          <w:sz w:val="20"/>
          <w:szCs w:val="20"/>
        </w:rPr>
        <w:t xml:space="preserve">Pricing is quoted EXW Supplier's Gary, Indiana mill; all transportation, insurance, and risk of loss from the point of collection are Buyer's responsibility and are not included in the unit prices shown.</w:t>
      </w:r>
    </w:p>
    <w:p>
      <w:pPr>
        <w:pStyle w:val="ListParagraph"/>
        <w:numPr>
          <w:ilvl w:val="0"/>
          <w:numId w:val="1"/>
        </w:numPr>
        <w:spacing w:after="80"/>
      </w:pPr>
      <w:r>
        <w:rPr>
          <w:rFonts w:ascii="Calibri" w:cs="Calibri" w:eastAsia="Calibri" w:hAnsi="Calibri"/>
          <w:color w:val="222222"/>
          <w:sz w:val="20"/>
          <w:szCs w:val="20"/>
        </w:rPr>
        <w:t xml:space="preserve">This Quotation is issued for planning and purchase requisition purposes and does not itself constitute a Purchase Order; a formal Purchase Order referencing this Quotation and the Contract Number must be issued in accordance with the Procurement Policy (NML-POL-PROC-001) prior to order fulfillment.</w:t>
      </w:r>
    </w:p>
    <w:p>
      <w:pPr>
        <w:pStyle w:val="ListParagraph"/>
        <w:numPr>
          <w:ilvl w:val="0"/>
          <w:numId w:val="1"/>
        </w:numPr>
        <w:spacing w:after="80"/>
      </w:pPr>
      <w:r>
        <w:rPr>
          <w:rFonts w:ascii="Calibri" w:cs="Calibri" w:eastAsia="Calibri" w:hAnsi="Calibri"/>
          <w:color w:val="222222"/>
          <w:sz w:val="20"/>
          <w:szCs w:val="20"/>
        </w:rPr>
        <w:t xml:space="preserve">Pricing is valid through the date stated in the Quotation Identification section above, after which prices are subject to reconfirmation against the then-current quarterly index-adjusted Contract rate.</w:t>
      </w:r>
    </w:p>
    <w:p>
      <w:pPr>
        <w:pStyle w:val="Heading1"/>
        <w:pBdr>
          <w:bottom w:val="single" w:color="1F3A5F" w:sz="8" w:space="2"/>
        </w:pBdr>
        <w:spacing w:after="160" w:before="360"/>
      </w:pPr>
      <w:r>
        <w:rPr>
          <w:rFonts w:ascii="Calibri" w:cs="Calibri" w:eastAsia="Calibri" w:hAnsi="Calibri"/>
          <w:b/>
          <w:bCs/>
          <w:color w:val="1F3A5F"/>
          <w:sz w:val="26"/>
          <w:szCs w:val="26"/>
        </w:rPr>
        <w:t xml:space="preserve">7. Authorization</w:t>
      </w:r>
    </w:p>
    <w:p>
      <w:pPr>
        <w:spacing w:after="120"/>
      </w:pPr>
      <w:r>
        <w:rPr>
          <w:rFonts w:ascii="Calibri" w:cs="Calibri" w:eastAsia="Calibri" w:hAnsi="Calibri"/>
          <w:color w:val="222222"/>
          <w:sz w:val="20"/>
          <w:szCs w:val="20"/>
        </w:rPr>
        <w:t xml:space="preserve">This Quotation is submitted for review and authorization by both Parties, consistent with the terms of Supplier Contract NML-SC-EPSILON-2026-004 and Nova Manufacturing Ltd.'s Procurement Policy (NML-POL-PROC-001).</w:t>
      </w:r>
    </w:p>
    <w:p>
      <w:pPr>
        <w:spacing w:before="200"/>
      </w:pPr>
    </w:p>
    <w:p>
      <w:pPr>
        <w:spacing w:after="100" w:before="200"/>
      </w:pPr>
      <w:r>
        <w:rPr>
          <w:rFonts w:ascii="Calibri" w:cs="Calibri" w:eastAsia="Calibri" w:hAnsi="Calibri"/>
          <w:b/>
          <w:bCs/>
          <w:color w:val="2E5395"/>
          <w:sz w:val="22"/>
          <w:szCs w:val="22"/>
        </w:rPr>
        <w:t xml:space="preserve">BUYER</w:t>
      </w:r>
    </w:p>
    <w:p>
      <w:pPr>
        <w:spacing w:after="120"/>
      </w:pPr>
      <w:r>
        <w:rPr>
          <w:rFonts w:ascii="Calibri" w:cs="Calibri" w:eastAsia="Calibri" w:hAnsi="Calibri"/>
          <w:color w:val="222222"/>
          <w:sz w:val="20"/>
          <w:szCs w:val="20"/>
        </w:rPr>
        <w:t xml:space="preserve">Nova Manufacturing Ltd.</w:t>
      </w:r>
    </w:p>
    <w:p>
      <w:pPr>
        <w:spacing w:after="120"/>
      </w:pPr>
      <w:r>
        <w:rPr>
          <w:rFonts w:ascii="Calibri" w:cs="Calibri" w:eastAsia="Calibri" w:hAnsi="Calibri"/>
          <w:color w:val="222222"/>
          <w:sz w:val="20"/>
          <w:szCs w:val="20"/>
        </w:rPr>
        <w:t xml:space="preserve">1200 Foundry Road, Akron, Ohio 44301</w:t>
      </w:r>
    </w:p>
    <w:p>
      <w:pPr>
        <w:spacing w:after="100" w:before="200"/>
      </w:pPr>
      <w:r>
        <w:rPr>
          <w:rFonts w:ascii="Calibri" w:cs="Calibri" w:eastAsia="Calibri" w:hAnsi="Calibri"/>
          <w:sz w:val="20"/>
          <w:szCs w:val="20"/>
        </w:rPr>
        <w:t xml:space="preserve">Signature: __________________________________</w:t>
      </w:r>
    </w:p>
    <w:p>
      <w:pPr>
        <w:spacing w:after="100"/>
      </w:pPr>
      <w:r>
        <w:rPr>
          <w:rFonts w:ascii="Calibri" w:cs="Calibri" w:eastAsia="Calibri" w:hAnsi="Calibri"/>
          <w:sz w:val="20"/>
          <w:szCs w:val="20"/>
        </w:rPr>
        <w:t xml:space="preserve">Name: __________________________________</w:t>
      </w:r>
    </w:p>
    <w:p>
      <w:pPr>
        <w:spacing w:after="100"/>
      </w:pPr>
      <w:r>
        <w:rPr>
          <w:rFonts w:ascii="Calibri" w:cs="Calibri" w:eastAsia="Calibri" w:hAnsi="Calibri"/>
          <w:sz w:val="20"/>
          <w:szCs w:val="20"/>
        </w:rPr>
        <w:t xml:space="preserve">Title: __________________________________</w:t>
      </w:r>
    </w:p>
    <w:p>
      <w:pPr>
        <w:spacing w:after="300"/>
      </w:pPr>
      <w:r>
        <w:rPr>
          <w:rFonts w:ascii="Calibri" w:cs="Calibri" w:eastAsia="Calibri" w:hAnsi="Calibri"/>
          <w:sz w:val="20"/>
          <w:szCs w:val="20"/>
        </w:rPr>
        <w:t xml:space="preserve">Date: __________________________________</w:t>
      </w:r>
    </w:p>
    <w:p>
      <w:pPr>
        <w:spacing w:after="100" w:before="200"/>
      </w:pPr>
      <w:r>
        <w:rPr>
          <w:rFonts w:ascii="Calibri" w:cs="Calibri" w:eastAsia="Calibri" w:hAnsi="Calibri"/>
          <w:b/>
          <w:bCs/>
          <w:color w:val="2E5395"/>
          <w:sz w:val="22"/>
          <w:szCs w:val="22"/>
        </w:rPr>
        <w:t xml:space="preserve">SUPPLIER</w:t>
      </w:r>
    </w:p>
    <w:p>
      <w:pPr>
        <w:spacing w:after="120"/>
      </w:pPr>
      <w:r>
        <w:rPr>
          <w:rFonts w:ascii="Calibri" w:cs="Calibri" w:eastAsia="Calibri" w:hAnsi="Calibri"/>
          <w:color w:val="222222"/>
          <w:sz w:val="20"/>
          <w:szCs w:val="20"/>
        </w:rPr>
        <w:t xml:space="preserve">Epsilon_Group</w:t>
      </w:r>
    </w:p>
    <w:p>
      <w:pPr>
        <w:spacing w:after="120"/>
      </w:pPr>
      <w:r>
        <w:rPr>
          <w:rFonts w:ascii="Calibri" w:cs="Calibri" w:eastAsia="Calibri" w:hAnsi="Calibri"/>
          <w:color w:val="222222"/>
          <w:sz w:val="20"/>
          <w:szCs w:val="20"/>
        </w:rPr>
        <w:t xml:space="preserve">900 Furnace Row, Gary, Indiana 46402</w:t>
      </w:r>
    </w:p>
    <w:p>
      <w:pPr>
        <w:spacing w:after="100" w:before="200"/>
      </w:pPr>
      <w:r>
        <w:rPr>
          <w:rFonts w:ascii="Calibri" w:cs="Calibri" w:eastAsia="Calibri" w:hAnsi="Calibri"/>
          <w:sz w:val="20"/>
          <w:szCs w:val="20"/>
        </w:rPr>
        <w:t xml:space="preserve">Signature: __________________________________</w:t>
      </w:r>
    </w:p>
    <w:p>
      <w:pPr>
        <w:spacing w:after="100"/>
      </w:pPr>
      <w:r>
        <w:rPr>
          <w:rFonts w:ascii="Calibri" w:cs="Calibri" w:eastAsia="Calibri" w:hAnsi="Calibri"/>
          <w:sz w:val="20"/>
          <w:szCs w:val="20"/>
        </w:rPr>
        <w:t xml:space="preserve">Name: __________________________________</w:t>
      </w:r>
    </w:p>
    <w:p>
      <w:pPr>
        <w:spacing w:after="100"/>
      </w:pPr>
      <w:r>
        <w:rPr>
          <w:rFonts w:ascii="Calibri" w:cs="Calibri" w:eastAsia="Calibri" w:hAnsi="Calibri"/>
          <w:sz w:val="20"/>
          <w:szCs w:val="20"/>
        </w:rPr>
        <w:t xml:space="preserve">Title: __________________________________</w:t>
      </w:r>
    </w:p>
    <w:p>
      <w:pPr>
        <w:spacing w:after="300"/>
      </w:pPr>
      <w:r>
        <w:rPr>
          <w:rFonts w:ascii="Calibri" w:cs="Calibri" w:eastAsia="Calibri" w:hAnsi="Calibri"/>
          <w:sz w:val="20"/>
          <w:szCs w:val="20"/>
        </w:rPr>
        <w:t xml:space="preserve">Date: __________________________________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NML-QT-EPSILON-2026-004  |  Confidential — Contains Commercial Terms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Nova Manufacturing Ltd. — Supplier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2026-07-20T07:40:07.105Z</dcterms:created>
  <dcterms:modified xsi:type="dcterms:W3CDTF">2026-07-20T07:40:07.105Z</dcterms:modified>
</cp:coreProperties>
</file>

<file path=docProps/custom.xml><?xml version="1.0" encoding="utf-8"?>
<Properties xmlns="http://schemas.openxmlformats.org/officeDocument/2006/custom-properties" xmlns:vt="http://schemas.openxmlformats.org/officeDocument/2006/docPropsVTypes"/>
</file>