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pPr>
    </w:p>
    <w:p>
      <w:pPr>
        <w:pBdr>
          <w:top w:val="single" w:color="1F3864" w:sz="12" w:space="8"/>
          <w:bottom w:val="single" w:color="1F3864" w:sz="12" w:space="8"/>
          <w:left w:val="single" w:color="1F3864" w:sz="12" w:space="8"/>
          <w:right w:val="single" w:color="1F3864" w:sz="12" w:space="8"/>
        </w:pBdr>
        <w:spacing w:after="200"/>
        <w:jc w:val="center"/>
      </w:pPr>
      <w:r>
        <w:rPr>
          <w:rFonts w:ascii="Calibri" w:cs="Calibri" w:eastAsia="Calibri" w:hAnsi="Calibri"/>
          <w:b/>
          <w:bCs/>
          <w:color w:val="1F3864"/>
          <w:sz w:val="20"/>
          <w:szCs w:val="20"/>
        </w:rPr>
        <w:t xml:space="preserve">[ NOVA MANUFACTURING LTD. — COMPANY LOGO ]</w:t>
      </w:r>
    </w:p>
    <w:p>
      <w:pPr>
        <w:spacing w:after="200" w:before="600"/>
        <w:jc w:val="center"/>
      </w:pPr>
      <w:r>
        <w:rPr>
          <w:rFonts w:ascii="Calibri" w:cs="Calibri" w:eastAsia="Calibri" w:hAnsi="Calibri"/>
          <w:b/>
          <w:bCs/>
          <w:color w:val="1F3864"/>
          <w:sz w:val="40"/>
          <w:szCs w:val="40"/>
        </w:rPr>
        <w:t xml:space="preserve">Nova Manufacturing Ltd.</w:t>
      </w:r>
    </w:p>
    <w:p>
      <w:pPr>
        <w:spacing w:after="100"/>
        <w:jc w:val="center"/>
      </w:pPr>
      <w:r>
        <w:rPr>
          <w:rFonts w:ascii="Calibri" w:cs="Calibri" w:eastAsia="Calibri" w:hAnsi="Calibri"/>
          <w:b/>
          <w:bCs/>
          <w:color w:val="44546A"/>
          <w:sz w:val="32"/>
          <w:szCs w:val="32"/>
        </w:rPr>
        <w:t xml:space="preserve">Supplier Evaluation Policy</w:t>
      </w:r>
    </w:p>
    <w:p>
      <w:pPr>
        <w:spacing w:after="600"/>
        <w:jc w:val="center"/>
      </w:pPr>
      <w:r>
        <w:rPr>
          <w:rFonts w:ascii="Calibri" w:cs="Calibri" w:eastAsia="Calibri" w:hAnsi="Calibri"/>
          <w:i/>
          <w:iCs/>
          <w:color w:val="44546A"/>
          <w:sz w:val="24"/>
          <w:szCs w:val="24"/>
        </w:rPr>
        <w:t xml:space="preserve">Policy for Supplier Qualification, Scorecarding, and Performance Management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c>
          <w:tcPr>
            <w:tcW w:type="dxa" w:w="3000"/>
            <w:shd w:fill="F2F2F2" w:val="clear"/>
            <w:tcMar>
              <w:top w:type="dxa" w:w="100"/>
              <w:left w:type="dxa" w:w="150"/>
              <w:bottom w:type="dxa" w:w="100"/>
              <w:right w:type="dxa" w:w="150"/>
            </w:tcMar>
          </w:tcPr>
          <w:p>
            <w:r>
              <w:rPr>
                <w:rFonts w:ascii="Calibri" w:cs="Calibri" w:eastAsia="Calibri" w:hAnsi="Calibri"/>
                <w:b/>
                <w:bCs/>
                <w:color w:val="1F3864"/>
                <w:sz w:val="20"/>
                <w:szCs w:val="20"/>
              </w:rPr>
              <w:t xml:space="preserve">Document ID:</w:t>
            </w:r>
          </w:p>
        </w:tc>
        <w:tc>
          <w:tcPr>
            <w:tcW w:type="dxa" w:w="6000"/>
            <w:tcMar>
              <w:top w:type="dxa" w:w="100"/>
              <w:left w:type="dxa" w:w="150"/>
              <w:bottom w:type="dxa" w:w="100"/>
              <w:right w:type="dxa" w:w="150"/>
            </w:tcMar>
          </w:tcPr>
          <w:p>
            <w:r>
              <w:rPr>
                <w:rFonts w:ascii="Calibri" w:cs="Calibri" w:eastAsia="Calibri" w:hAnsi="Calibri"/>
                <w:color w:val="222222"/>
                <w:sz w:val="20"/>
                <w:szCs w:val="20"/>
              </w:rPr>
              <w:t xml:space="preserve">NML-POL-SUPEVAL-002</w:t>
            </w:r>
          </w:p>
        </w:tc>
      </w:tr>
      <w:tr>
        <w:tc>
          <w:tcPr>
            <w:tcW w:type="dxa" w:w="3000"/>
            <w:shd w:fill="F2F2F2" w:val="clear"/>
            <w:tcMar>
              <w:top w:type="dxa" w:w="100"/>
              <w:left w:type="dxa" w:w="150"/>
              <w:bottom w:type="dxa" w:w="100"/>
              <w:right w:type="dxa" w:w="150"/>
            </w:tcMar>
          </w:tcPr>
          <w:p>
            <w:r>
              <w:rPr>
                <w:rFonts w:ascii="Calibri" w:cs="Calibri" w:eastAsia="Calibri" w:hAnsi="Calibri"/>
                <w:b/>
                <w:bCs/>
                <w:color w:val="1F3864"/>
                <w:sz w:val="20"/>
                <w:szCs w:val="20"/>
              </w:rPr>
              <w:t xml:space="preserve">Version:</w:t>
            </w:r>
          </w:p>
        </w:tc>
        <w:tc>
          <w:tcPr>
            <w:tcW w:type="dxa" w:w="6000"/>
            <w:tcMar>
              <w:top w:type="dxa" w:w="100"/>
              <w:left w:type="dxa" w:w="150"/>
              <w:bottom w:type="dxa" w:w="100"/>
              <w:right w:type="dxa" w:w="150"/>
            </w:tcMar>
          </w:tcPr>
          <w:p>
            <w:r>
              <w:rPr>
                <w:rFonts w:ascii="Calibri" w:cs="Calibri" w:eastAsia="Calibri" w:hAnsi="Calibri"/>
                <w:color w:val="222222"/>
                <w:sz w:val="20"/>
                <w:szCs w:val="20"/>
              </w:rPr>
              <w:t xml:space="preserve">2.4</w:t>
            </w:r>
          </w:p>
        </w:tc>
      </w:tr>
      <w:tr>
        <w:tc>
          <w:tcPr>
            <w:tcW w:type="dxa" w:w="3000"/>
            <w:shd w:fill="F2F2F2" w:val="clear"/>
            <w:tcMar>
              <w:top w:type="dxa" w:w="100"/>
              <w:left w:type="dxa" w:w="150"/>
              <w:bottom w:type="dxa" w:w="100"/>
              <w:right w:type="dxa" w:w="150"/>
            </w:tcMar>
          </w:tcPr>
          <w:p>
            <w:r>
              <w:rPr>
                <w:rFonts w:ascii="Calibri" w:cs="Calibri" w:eastAsia="Calibri" w:hAnsi="Calibri"/>
                <w:b/>
                <w:bCs/>
                <w:color w:val="1F3864"/>
                <w:sz w:val="20"/>
                <w:szCs w:val="20"/>
              </w:rPr>
              <w:t xml:space="preserve">Issue Date:</w:t>
            </w:r>
          </w:p>
        </w:tc>
        <w:tc>
          <w:tcPr>
            <w:tcW w:type="dxa" w:w="6000"/>
            <w:tcMar>
              <w:top w:type="dxa" w:w="100"/>
              <w:left w:type="dxa" w:w="150"/>
              <w:bottom w:type="dxa" w:w="100"/>
              <w:right w:type="dxa" w:w="150"/>
            </w:tcMar>
          </w:tcPr>
          <w:p>
            <w:r>
              <w:rPr>
                <w:rFonts w:ascii="Calibri" w:cs="Calibri" w:eastAsia="Calibri" w:hAnsi="Calibri"/>
                <w:color w:val="222222"/>
                <w:sz w:val="20"/>
                <w:szCs w:val="20"/>
              </w:rPr>
              <w:t xml:space="preserve">June 1, 2021</w:t>
            </w:r>
          </w:p>
        </w:tc>
      </w:tr>
      <w:tr>
        <w:tc>
          <w:tcPr>
            <w:tcW w:type="dxa" w:w="3000"/>
            <w:shd w:fill="F2F2F2" w:val="clear"/>
            <w:tcMar>
              <w:top w:type="dxa" w:w="100"/>
              <w:left w:type="dxa" w:w="150"/>
              <w:bottom w:type="dxa" w:w="100"/>
              <w:right w:type="dxa" w:w="150"/>
            </w:tcMar>
          </w:tcPr>
          <w:p>
            <w:r>
              <w:rPr>
                <w:rFonts w:ascii="Calibri" w:cs="Calibri" w:eastAsia="Calibri" w:hAnsi="Calibri"/>
                <w:b/>
                <w:bCs/>
                <w:color w:val="1F3864"/>
                <w:sz w:val="20"/>
                <w:szCs w:val="20"/>
              </w:rPr>
              <w:t xml:space="preserve">Revision Date:</w:t>
            </w:r>
          </w:p>
        </w:tc>
        <w:tc>
          <w:tcPr>
            <w:tcW w:type="dxa" w:w="6000"/>
            <w:tcMar>
              <w:top w:type="dxa" w:w="100"/>
              <w:left w:type="dxa" w:w="150"/>
              <w:bottom w:type="dxa" w:w="100"/>
              <w:right w:type="dxa" w:w="150"/>
            </w:tcMar>
          </w:tcPr>
          <w:p>
            <w:r>
              <w:rPr>
                <w:rFonts w:ascii="Calibri" w:cs="Calibri" w:eastAsia="Calibri" w:hAnsi="Calibri"/>
                <w:color w:val="222222"/>
                <w:sz w:val="20"/>
                <w:szCs w:val="20"/>
              </w:rPr>
              <w:t xml:space="preserve">February 10, 2026</w:t>
            </w:r>
          </w:p>
        </w:tc>
      </w:tr>
      <w:tr>
        <w:tc>
          <w:tcPr>
            <w:tcW w:type="dxa" w:w="3000"/>
            <w:shd w:fill="F2F2F2" w:val="clear"/>
            <w:tcMar>
              <w:top w:type="dxa" w:w="100"/>
              <w:left w:type="dxa" w:w="150"/>
              <w:bottom w:type="dxa" w:w="100"/>
              <w:right w:type="dxa" w:w="150"/>
            </w:tcMar>
          </w:tcPr>
          <w:p>
            <w:r>
              <w:rPr>
                <w:rFonts w:ascii="Calibri" w:cs="Calibri" w:eastAsia="Calibri" w:hAnsi="Calibri"/>
                <w:b/>
                <w:bCs/>
                <w:color w:val="1F3864"/>
                <w:sz w:val="20"/>
                <w:szCs w:val="20"/>
              </w:rPr>
              <w:t xml:space="preserve">Document Owner:</w:t>
            </w:r>
          </w:p>
        </w:tc>
        <w:tc>
          <w:tcPr>
            <w:tcW w:type="dxa" w:w="6000"/>
            <w:tcMar>
              <w:top w:type="dxa" w:w="100"/>
              <w:left w:type="dxa" w:w="150"/>
              <w:bottom w:type="dxa" w:w="100"/>
              <w:right w:type="dxa" w:w="150"/>
            </w:tcMar>
          </w:tcPr>
          <w:p>
            <w:r>
              <w:rPr>
                <w:rFonts w:ascii="Calibri" w:cs="Calibri" w:eastAsia="Calibri" w:hAnsi="Calibri"/>
                <w:color w:val="222222"/>
                <w:sz w:val="20"/>
                <w:szCs w:val="20"/>
              </w:rPr>
              <w:t xml:space="preserve">Director of Procurement, Global Supply Chain Organization</w:t>
            </w:r>
          </w:p>
        </w:tc>
      </w:tr>
      <w:tr>
        <w:tc>
          <w:tcPr>
            <w:tcW w:type="dxa" w:w="3000"/>
            <w:shd w:fill="F2F2F2" w:val="clear"/>
            <w:tcMar>
              <w:top w:type="dxa" w:w="100"/>
              <w:left w:type="dxa" w:w="150"/>
              <w:bottom w:type="dxa" w:w="100"/>
              <w:right w:type="dxa" w:w="150"/>
            </w:tcMar>
          </w:tcPr>
          <w:p>
            <w:r>
              <w:rPr>
                <w:rFonts w:ascii="Calibri" w:cs="Calibri" w:eastAsia="Calibri" w:hAnsi="Calibri"/>
                <w:b/>
                <w:bCs/>
                <w:color w:val="1F3864"/>
                <w:sz w:val="20"/>
                <w:szCs w:val="20"/>
              </w:rPr>
              <w:t xml:space="preserve">Classification:</w:t>
            </w:r>
          </w:p>
        </w:tc>
        <w:tc>
          <w:tcPr>
            <w:tcW w:type="dxa" w:w="6000"/>
            <w:tcMar>
              <w:top w:type="dxa" w:w="100"/>
              <w:left w:type="dxa" w:w="150"/>
              <w:bottom w:type="dxa" w:w="100"/>
              <w:right w:type="dxa" w:w="150"/>
            </w:tcMar>
          </w:tcPr>
          <w:p>
            <w:r>
              <w:rPr>
                <w:rFonts w:ascii="Calibri" w:cs="Calibri" w:eastAsia="Calibri" w:hAnsi="Calibri"/>
                <w:color w:val="222222"/>
                <w:sz w:val="20"/>
                <w:szCs w:val="20"/>
              </w:rPr>
              <w:t xml:space="preserve">Internal Use Only — Not for External Distribution</w:t>
            </w:r>
          </w:p>
        </w:tc>
      </w:tr>
    </w:tbl>
    <w:p>
      <w:r>
        <w:br w:type="page"/>
      </w:r>
    </w:p>
    <w:p>
      <w:pPr>
        <w:sectPr>
          <w:headerReference w:type="default" r:id="rId7"/>
          <w:footerReference w:type="default" r:id="rId8"/>
          <w:pgSz w:w="12240" w:h="15840" w:orient="portrait"/>
          <w:pgMar w:top="1080" w:right="1260" w:bottom="1080" w:left="1260" w:header="708" w:footer="708" w:gutter="0"/>
          <w:pgNumType/>
          <w:titlePg w:val="false"/>
          <w:docGrid w:linePitch="360"/>
        </w:sectPr>
      </w:pPr>
    </w:p>
    <w:p>
      <w:pPr>
        <w:pStyle w:val="Heading1"/>
        <w:pBdr>
          <w:bottom w:val="single" w:color="D9D9D9" w:sz="6" w:space="4"/>
        </w:pBdr>
        <w:spacing w:after="150" w:before="300"/>
      </w:pPr>
      <w:r>
        <w:rPr>
          <w:rFonts w:ascii="Calibri" w:cs="Calibri" w:eastAsia="Calibri" w:hAnsi="Calibri"/>
          <w:b/>
          <w:bCs/>
          <w:color w:val="1F3864"/>
          <w:sz w:val="28"/>
          <w:szCs w:val="28"/>
        </w:rPr>
        <w:t xml:space="preserve">1. Purpose and Scope</w:t>
      </w:r>
    </w:p>
    <w:p>
      <w:pPr>
        <w:spacing w:after="140" w:line="276"/>
        <w:jc w:val="both"/>
      </w:pPr>
      <w:r>
        <w:rPr>
          <w:rFonts w:ascii="Calibri" w:cs="Calibri" w:eastAsia="Calibri" w:hAnsi="Calibri"/>
          <w:color w:val="222222"/>
          <w:sz w:val="21"/>
          <w:szCs w:val="21"/>
        </w:rPr>
        <w:t xml:space="preserve">This Supplier Evaluation Policy ("Policy") defines the criteria and process by which Nova Manufacturing Ltd. ("Nova Manufacturing," "the Company") qualifies new suppliers, scores ongoing supplier performance, and manages corrective action, suspension, and re-qualification. This Policy applies to all suppliers of electronics, office supplies, packaging, raw materials, and MRO goods and services listed on, or seeking entry to, the Approved Supplier List (ASL), and supplements the Procurement Policy (NML-POL-PROC-001).</w:t>
      </w:r>
    </w:p>
    <w:p>
      <w:pPr>
        <w:pStyle w:val="Heading1"/>
        <w:pBdr>
          <w:bottom w:val="single" w:color="D9D9D9" w:sz="6" w:space="4"/>
        </w:pBdr>
        <w:spacing w:after="150" w:before="300"/>
      </w:pPr>
      <w:r>
        <w:rPr>
          <w:rFonts w:ascii="Calibri" w:cs="Calibri" w:eastAsia="Calibri" w:hAnsi="Calibri"/>
          <w:b/>
          <w:bCs/>
          <w:color w:val="1F3864"/>
          <w:sz w:val="28"/>
          <w:szCs w:val="28"/>
        </w:rPr>
        <w:t xml:space="preserve">2. Supplier Qualification</w:t>
      </w:r>
    </w:p>
    <w:p>
      <w:pPr>
        <w:spacing w:after="140" w:line="276"/>
        <w:jc w:val="both"/>
      </w:pPr>
      <w:r>
        <w:rPr>
          <w:rFonts w:ascii="Calibri" w:cs="Calibri" w:eastAsia="Calibri" w:hAnsi="Calibri"/>
          <w:color w:val="222222"/>
          <w:sz w:val="21"/>
          <w:szCs w:val="21"/>
        </w:rPr>
        <w:t xml:space="preserve">Prospective suppliers must complete the qualification process before receiving a purchase order. Qualification requires submission of: a completed Supplier Information Form, current W-9 (or W-8BEN for non-U.S. entities), certificate of general liability and product liability insurance with minimum coverage of $2,000,000 per occurrence, Dun &amp; Bradstreet or equivalent business credit report, and, for suppliers of electronics or safety-critical components, evidence of ISO 9001:2015 (or equivalent) quality certification. Suppliers of electronic components must additionally submit RoHS and REACH compliance declarations.</w:t>
      </w:r>
    </w:p>
    <w:p>
      <w:pPr>
        <w:spacing w:after="140" w:line="276"/>
        <w:jc w:val="both"/>
      </w:pPr>
      <w:r>
        <w:rPr>
          <w:rFonts w:ascii="Calibri" w:cs="Calibri" w:eastAsia="Calibri" w:hAnsi="Calibri"/>
          <w:color w:val="222222"/>
          <w:sz w:val="21"/>
          <w:szCs w:val="21"/>
        </w:rPr>
        <w:t xml:space="preserve">Procurement shall conduct a qualification site visit or virtual audit for any prospective supplier expected to exceed $250,000 in annual spend, or for any supplier providing safety-critical or regulated components. Qualification approval requires sign-off from Procurement, Quality Assurance, and Finance.</w:t>
      </w:r>
    </w:p>
    <w:p>
      <w:pPr>
        <w:pStyle w:val="Heading1"/>
        <w:pBdr>
          <w:bottom w:val="single" w:color="D9D9D9" w:sz="6" w:space="4"/>
        </w:pBdr>
        <w:spacing w:after="150" w:before="300"/>
      </w:pPr>
      <w:r>
        <w:rPr>
          <w:rFonts w:ascii="Calibri" w:cs="Calibri" w:eastAsia="Calibri" w:hAnsi="Calibri"/>
          <w:b/>
          <w:bCs/>
          <w:color w:val="1F3864"/>
          <w:sz w:val="28"/>
          <w:szCs w:val="28"/>
        </w:rPr>
        <w:t xml:space="preserve">3. Supplier Scorecard</w:t>
      </w:r>
    </w:p>
    <w:p>
      <w:pPr>
        <w:spacing w:after="140" w:line="276"/>
        <w:jc w:val="both"/>
      </w:pPr>
      <w:r>
        <w:rPr>
          <w:rFonts w:ascii="Calibri" w:cs="Calibri" w:eastAsia="Calibri" w:hAnsi="Calibri"/>
          <w:color w:val="222222"/>
          <w:sz w:val="21"/>
          <w:szCs w:val="21"/>
        </w:rPr>
        <w:t xml:space="preserve">Every active supplier is scored quarterly using a weighted scorecard on a 100-point scale. The scorecard weighting is as follows: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400"/>
        <w:gridCol w:w="2200"/>
        <w:gridCol w:w="3400"/>
      </w:tblGrid>
      <w:tr>
        <w:trPr>
          <w:tblHeader/>
        </w:trPr>
        <w:tc>
          <w:tcPr>
            <w:tcW w:type="dxa" w:w="3400"/>
            <w:shd w:fill="1F3864"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Category</w:t>
            </w:r>
          </w:p>
        </w:tc>
        <w:tc>
          <w:tcPr>
            <w:tcW w:type="dxa" w:w="2200"/>
            <w:shd w:fill="1F3864"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Weight</w:t>
            </w:r>
          </w:p>
        </w:tc>
        <w:tc>
          <w:tcPr>
            <w:tcW w:type="dxa" w:w="3400"/>
            <w:shd w:fill="1F3864"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Data Source</w:t>
            </w:r>
          </w:p>
        </w:tc>
      </w:tr>
      <w:tr>
        <w:tc>
          <w:tcPr>
            <w:tcW w:type="dxa" w:w="3400"/>
            <w:tcMar>
              <w:top w:type="dxa" w:w="70"/>
              <w:left w:type="dxa" w:w="100"/>
              <w:bottom w:type="dxa" w:w="70"/>
              <w:right w:type="dxa" w:w="100"/>
            </w:tcMar>
            <w:vAlign w:val="center"/>
          </w:tcPr>
          <w:p>
            <w:pPr>
              <w:jc w:val="left"/>
            </w:pPr>
            <w:r>
              <w:rPr>
                <w:rFonts w:ascii="Calibri" w:cs="Calibri" w:eastAsia="Calibri" w:hAnsi="Calibri"/>
                <w:b w:val="false"/>
                <w:bCs w:val="false"/>
                <w:color w:val="222222"/>
                <w:sz w:val="19"/>
                <w:szCs w:val="19"/>
              </w:rPr>
              <w:t xml:space="preserve">Quality Performance</w:t>
            </w:r>
          </w:p>
        </w:tc>
        <w:tc>
          <w:tcPr>
            <w:tcW w:type="dxa" w:w="2200"/>
            <w:tcMar>
              <w:top w:type="dxa" w:w="70"/>
              <w:left w:type="dxa" w:w="100"/>
              <w:bottom w:type="dxa" w:w="70"/>
              <w:right w:type="dxa" w:w="100"/>
            </w:tcMar>
            <w:vAlign w:val="center"/>
          </w:tcPr>
          <w:p>
            <w:pPr>
              <w:jc w:val="left"/>
            </w:pPr>
            <w:r>
              <w:rPr>
                <w:rFonts w:ascii="Calibri" w:cs="Calibri" w:eastAsia="Calibri" w:hAnsi="Calibri"/>
                <w:b w:val="false"/>
                <w:bCs w:val="false"/>
                <w:color w:val="222222"/>
                <w:sz w:val="19"/>
                <w:szCs w:val="19"/>
              </w:rPr>
              <w:t xml:space="preserve">35%</w:t>
            </w:r>
          </w:p>
        </w:tc>
        <w:tc>
          <w:tcPr>
            <w:tcW w:type="dxa" w:w="3400"/>
            <w:tcMar>
              <w:top w:type="dxa" w:w="70"/>
              <w:left w:type="dxa" w:w="100"/>
              <w:bottom w:type="dxa" w:w="70"/>
              <w:right w:type="dxa" w:w="100"/>
            </w:tcMar>
            <w:vAlign w:val="center"/>
          </w:tcPr>
          <w:p>
            <w:pPr>
              <w:jc w:val="left"/>
            </w:pPr>
            <w:r>
              <w:rPr>
                <w:rFonts w:ascii="Calibri" w:cs="Calibri" w:eastAsia="Calibri" w:hAnsi="Calibri"/>
                <w:b w:val="false"/>
                <w:bCs w:val="false"/>
                <w:color w:val="222222"/>
                <w:sz w:val="19"/>
                <w:szCs w:val="19"/>
              </w:rPr>
              <w:t xml:space="preserve">Incoming inspection reports, defect rate, customer complaints</w:t>
            </w:r>
          </w:p>
        </w:tc>
      </w:tr>
      <w:tr>
        <w:tc>
          <w:tcPr>
            <w:tcW w:type="dxa" w:w="3400"/>
            <w:shd w:fill="F2F2F2" w:val="clear"/>
            <w:tcMar>
              <w:top w:type="dxa" w:w="70"/>
              <w:left w:type="dxa" w:w="100"/>
              <w:bottom w:type="dxa" w:w="70"/>
              <w:right w:type="dxa" w:w="100"/>
            </w:tcMar>
            <w:vAlign w:val="center"/>
          </w:tcPr>
          <w:p>
            <w:pPr>
              <w:jc w:val="left"/>
            </w:pPr>
            <w:r>
              <w:rPr>
                <w:rFonts w:ascii="Calibri" w:cs="Calibri" w:eastAsia="Calibri" w:hAnsi="Calibri"/>
                <w:b w:val="false"/>
                <w:bCs w:val="false"/>
                <w:color w:val="222222"/>
                <w:sz w:val="19"/>
                <w:szCs w:val="19"/>
              </w:rPr>
              <w:t xml:space="preserve">Delivery Performance</w:t>
            </w:r>
          </w:p>
        </w:tc>
        <w:tc>
          <w:tcPr>
            <w:tcW w:type="dxa" w:w="2200"/>
            <w:shd w:fill="F2F2F2" w:val="clear"/>
            <w:tcMar>
              <w:top w:type="dxa" w:w="70"/>
              <w:left w:type="dxa" w:w="100"/>
              <w:bottom w:type="dxa" w:w="70"/>
              <w:right w:type="dxa" w:w="100"/>
            </w:tcMar>
            <w:vAlign w:val="center"/>
          </w:tcPr>
          <w:p>
            <w:pPr>
              <w:jc w:val="left"/>
            </w:pPr>
            <w:r>
              <w:rPr>
                <w:rFonts w:ascii="Calibri" w:cs="Calibri" w:eastAsia="Calibri" w:hAnsi="Calibri"/>
                <w:b w:val="false"/>
                <w:bCs w:val="false"/>
                <w:color w:val="222222"/>
                <w:sz w:val="19"/>
                <w:szCs w:val="19"/>
              </w:rPr>
              <w:t xml:space="preserve">30%</w:t>
            </w:r>
          </w:p>
        </w:tc>
        <w:tc>
          <w:tcPr>
            <w:tcW w:type="dxa" w:w="3400"/>
            <w:shd w:fill="F2F2F2" w:val="clear"/>
            <w:tcMar>
              <w:top w:type="dxa" w:w="70"/>
              <w:left w:type="dxa" w:w="100"/>
              <w:bottom w:type="dxa" w:w="70"/>
              <w:right w:type="dxa" w:w="100"/>
            </w:tcMar>
            <w:vAlign w:val="center"/>
          </w:tcPr>
          <w:p>
            <w:pPr>
              <w:jc w:val="left"/>
            </w:pPr>
            <w:r>
              <w:rPr>
                <w:rFonts w:ascii="Calibri" w:cs="Calibri" w:eastAsia="Calibri" w:hAnsi="Calibri"/>
                <w:b w:val="false"/>
                <w:bCs w:val="false"/>
                <w:color w:val="222222"/>
                <w:sz w:val="19"/>
                <w:szCs w:val="19"/>
              </w:rPr>
              <w:t xml:space="preserve">On-time delivery rate, lead-time adherence</w:t>
            </w:r>
          </w:p>
        </w:tc>
      </w:tr>
      <w:tr>
        <w:tc>
          <w:tcPr>
            <w:tcW w:type="dxa" w:w="3400"/>
            <w:tcMar>
              <w:top w:type="dxa" w:w="70"/>
              <w:left w:type="dxa" w:w="100"/>
              <w:bottom w:type="dxa" w:w="70"/>
              <w:right w:type="dxa" w:w="100"/>
            </w:tcMar>
            <w:vAlign w:val="center"/>
          </w:tcPr>
          <w:p>
            <w:pPr>
              <w:jc w:val="left"/>
            </w:pPr>
            <w:r>
              <w:rPr>
                <w:rFonts w:ascii="Calibri" w:cs="Calibri" w:eastAsia="Calibri" w:hAnsi="Calibri"/>
                <w:b w:val="false"/>
                <w:bCs w:val="false"/>
                <w:color w:val="222222"/>
                <w:sz w:val="19"/>
                <w:szCs w:val="19"/>
              </w:rPr>
              <w:t xml:space="preserve">Financial Stability</w:t>
            </w:r>
          </w:p>
        </w:tc>
        <w:tc>
          <w:tcPr>
            <w:tcW w:type="dxa" w:w="2200"/>
            <w:tcMar>
              <w:top w:type="dxa" w:w="70"/>
              <w:left w:type="dxa" w:w="100"/>
              <w:bottom w:type="dxa" w:w="70"/>
              <w:right w:type="dxa" w:w="100"/>
            </w:tcMar>
            <w:vAlign w:val="center"/>
          </w:tcPr>
          <w:p>
            <w:pPr>
              <w:jc w:val="left"/>
            </w:pPr>
            <w:r>
              <w:rPr>
                <w:rFonts w:ascii="Calibri" w:cs="Calibri" w:eastAsia="Calibri" w:hAnsi="Calibri"/>
                <w:b w:val="false"/>
                <w:bCs w:val="false"/>
                <w:color w:val="222222"/>
                <w:sz w:val="19"/>
                <w:szCs w:val="19"/>
              </w:rPr>
              <w:t xml:space="preserve">15%</w:t>
            </w:r>
          </w:p>
        </w:tc>
        <w:tc>
          <w:tcPr>
            <w:tcW w:type="dxa" w:w="3400"/>
            <w:tcMar>
              <w:top w:type="dxa" w:w="70"/>
              <w:left w:type="dxa" w:w="100"/>
              <w:bottom w:type="dxa" w:w="70"/>
              <w:right w:type="dxa" w:w="100"/>
            </w:tcMar>
            <w:vAlign w:val="center"/>
          </w:tcPr>
          <w:p>
            <w:pPr>
              <w:jc w:val="left"/>
            </w:pPr>
            <w:r>
              <w:rPr>
                <w:rFonts w:ascii="Calibri" w:cs="Calibri" w:eastAsia="Calibri" w:hAnsi="Calibri"/>
                <w:b w:val="false"/>
                <w:bCs w:val="false"/>
                <w:color w:val="222222"/>
                <w:sz w:val="19"/>
                <w:szCs w:val="19"/>
              </w:rPr>
              <w:t xml:space="preserve">Credit reports, payment history, financial statements</w:t>
            </w:r>
          </w:p>
        </w:tc>
      </w:tr>
      <w:tr>
        <w:tc>
          <w:tcPr>
            <w:tcW w:type="dxa" w:w="3400"/>
            <w:shd w:fill="F2F2F2" w:val="clear"/>
            <w:tcMar>
              <w:top w:type="dxa" w:w="70"/>
              <w:left w:type="dxa" w:w="100"/>
              <w:bottom w:type="dxa" w:w="70"/>
              <w:right w:type="dxa" w:w="100"/>
            </w:tcMar>
            <w:vAlign w:val="center"/>
          </w:tcPr>
          <w:p>
            <w:pPr>
              <w:jc w:val="left"/>
            </w:pPr>
            <w:r>
              <w:rPr>
                <w:rFonts w:ascii="Calibri" w:cs="Calibri" w:eastAsia="Calibri" w:hAnsi="Calibri"/>
                <w:b w:val="false"/>
                <w:bCs w:val="false"/>
                <w:color w:val="222222"/>
                <w:sz w:val="19"/>
                <w:szCs w:val="19"/>
              </w:rPr>
              <w:t xml:space="preserve">Compliance</w:t>
            </w:r>
          </w:p>
        </w:tc>
        <w:tc>
          <w:tcPr>
            <w:tcW w:type="dxa" w:w="2200"/>
            <w:shd w:fill="F2F2F2" w:val="clear"/>
            <w:tcMar>
              <w:top w:type="dxa" w:w="70"/>
              <w:left w:type="dxa" w:w="100"/>
              <w:bottom w:type="dxa" w:w="70"/>
              <w:right w:type="dxa" w:w="100"/>
            </w:tcMar>
            <w:vAlign w:val="center"/>
          </w:tcPr>
          <w:p>
            <w:pPr>
              <w:jc w:val="left"/>
            </w:pPr>
            <w:r>
              <w:rPr>
                <w:rFonts w:ascii="Calibri" w:cs="Calibri" w:eastAsia="Calibri" w:hAnsi="Calibri"/>
                <w:b w:val="false"/>
                <w:bCs w:val="false"/>
                <w:color w:val="222222"/>
                <w:sz w:val="19"/>
                <w:szCs w:val="19"/>
              </w:rPr>
              <w:t xml:space="preserve">10%</w:t>
            </w:r>
          </w:p>
        </w:tc>
        <w:tc>
          <w:tcPr>
            <w:tcW w:type="dxa" w:w="3400"/>
            <w:shd w:fill="F2F2F2" w:val="clear"/>
            <w:tcMar>
              <w:top w:type="dxa" w:w="70"/>
              <w:left w:type="dxa" w:w="100"/>
              <w:bottom w:type="dxa" w:w="70"/>
              <w:right w:type="dxa" w:w="100"/>
            </w:tcMar>
            <w:vAlign w:val="center"/>
          </w:tcPr>
          <w:p>
            <w:pPr>
              <w:jc w:val="left"/>
            </w:pPr>
            <w:r>
              <w:rPr>
                <w:rFonts w:ascii="Calibri" w:cs="Calibri" w:eastAsia="Calibri" w:hAnsi="Calibri"/>
                <w:b w:val="false"/>
                <w:bCs w:val="false"/>
                <w:color w:val="222222"/>
                <w:sz w:val="19"/>
                <w:szCs w:val="19"/>
              </w:rPr>
              <w:t xml:space="preserve">Certifications, audit findings, regulatory declarations</w:t>
            </w:r>
          </w:p>
        </w:tc>
      </w:tr>
      <w:tr>
        <w:tc>
          <w:tcPr>
            <w:tcW w:type="dxa" w:w="3400"/>
            <w:tcMar>
              <w:top w:type="dxa" w:w="70"/>
              <w:left w:type="dxa" w:w="100"/>
              <w:bottom w:type="dxa" w:w="70"/>
              <w:right w:type="dxa" w:w="100"/>
            </w:tcMar>
            <w:vAlign w:val="center"/>
          </w:tcPr>
          <w:p>
            <w:pPr>
              <w:jc w:val="left"/>
            </w:pPr>
            <w:r>
              <w:rPr>
                <w:rFonts w:ascii="Calibri" w:cs="Calibri" w:eastAsia="Calibri" w:hAnsi="Calibri"/>
                <w:b w:val="false"/>
                <w:bCs w:val="false"/>
                <w:color w:val="222222"/>
                <w:sz w:val="19"/>
                <w:szCs w:val="19"/>
              </w:rPr>
              <w:t xml:space="preserve">Responsiveness / Service</w:t>
            </w:r>
          </w:p>
        </w:tc>
        <w:tc>
          <w:tcPr>
            <w:tcW w:type="dxa" w:w="2200"/>
            <w:tcMar>
              <w:top w:type="dxa" w:w="70"/>
              <w:left w:type="dxa" w:w="100"/>
              <w:bottom w:type="dxa" w:w="70"/>
              <w:right w:type="dxa" w:w="100"/>
            </w:tcMar>
            <w:vAlign w:val="center"/>
          </w:tcPr>
          <w:p>
            <w:pPr>
              <w:jc w:val="left"/>
            </w:pPr>
            <w:r>
              <w:rPr>
                <w:rFonts w:ascii="Calibri" w:cs="Calibri" w:eastAsia="Calibri" w:hAnsi="Calibri"/>
                <w:b w:val="false"/>
                <w:bCs w:val="false"/>
                <w:color w:val="222222"/>
                <w:sz w:val="19"/>
                <w:szCs w:val="19"/>
              </w:rPr>
              <w:t xml:space="preserve">10%</w:t>
            </w:r>
          </w:p>
        </w:tc>
        <w:tc>
          <w:tcPr>
            <w:tcW w:type="dxa" w:w="3400"/>
            <w:tcMar>
              <w:top w:type="dxa" w:w="70"/>
              <w:left w:type="dxa" w:w="100"/>
              <w:bottom w:type="dxa" w:w="70"/>
              <w:right w:type="dxa" w:w="100"/>
            </w:tcMar>
            <w:vAlign w:val="center"/>
          </w:tcPr>
          <w:p>
            <w:pPr>
              <w:jc w:val="left"/>
            </w:pPr>
            <w:r>
              <w:rPr>
                <w:rFonts w:ascii="Calibri" w:cs="Calibri" w:eastAsia="Calibri" w:hAnsi="Calibri"/>
                <w:b w:val="false"/>
                <w:bCs w:val="false"/>
                <w:color w:val="222222"/>
                <w:sz w:val="19"/>
                <w:szCs w:val="19"/>
              </w:rPr>
              <w:t xml:space="preserve">RFQ turnaround, issue resolution time</w:t>
            </w:r>
          </w:p>
        </w:tc>
      </w:tr>
    </w:tbl>
    <w:p>
      <w:pPr>
        <w:spacing w:after="140" w:line="276"/>
        <w:jc w:val="both"/>
      </w:pPr>
      <w:r>
        <w:rPr>
          <w:rFonts w:ascii="Calibri" w:cs="Calibri" w:eastAsia="Calibri" w:hAnsi="Calibri"/>
          <w:color w:val="222222"/>
          <w:sz w:val="21"/>
          <w:szCs w:val="21"/>
        </w:rPr>
        <w:t xml:space="preserve">Suppliers scoring 90 or above are classified Preferred; 75–89 are classified Approved; 60–74 are classified Conditional (subject to a Corrective Action Plan); and below 60 are subject to suspension review under Section 11.</w:t>
      </w:r>
    </w:p>
    <w:p>
      <w:pPr>
        <w:pStyle w:val="Heading1"/>
        <w:pBdr>
          <w:bottom w:val="single" w:color="D9D9D9" w:sz="6" w:space="4"/>
        </w:pBdr>
        <w:spacing w:after="150" w:before="300"/>
      </w:pPr>
      <w:r>
        <w:rPr>
          <w:rFonts w:ascii="Calibri" w:cs="Calibri" w:eastAsia="Calibri" w:hAnsi="Calibri"/>
          <w:b/>
          <w:bCs/>
          <w:color w:val="1F3864"/>
          <w:sz w:val="28"/>
          <w:szCs w:val="28"/>
        </w:rPr>
        <w:t xml:space="preserve">4. Financial Evaluation</w:t>
      </w:r>
    </w:p>
    <w:p>
      <w:pPr>
        <w:spacing w:after="140" w:line="276"/>
        <w:jc w:val="both"/>
      </w:pPr>
      <w:r>
        <w:rPr>
          <w:rFonts w:ascii="Calibri" w:cs="Calibri" w:eastAsia="Calibri" w:hAnsi="Calibri"/>
          <w:color w:val="222222"/>
          <w:sz w:val="21"/>
          <w:szCs w:val="21"/>
        </w:rPr>
        <w:t xml:space="preserve">Finance shall review each supplier's financial stability at qualification and annually thereafter for suppliers exceeding $100,000 in annual spend. Review criteria include current ratio, days payable outstanding, credit rating trend, and any reported litigation, bankruptcy filing, or change of control. Suppliers exhibiting a credit rating downgrade of two or more notches, or a going-concern qualification in audited financials, shall be flagged in the supply risk register and subject to enhanced monitoring.</w:t>
      </w:r>
    </w:p>
    <w:p>
      <w:pPr>
        <w:pStyle w:val="Heading1"/>
        <w:pBdr>
          <w:bottom w:val="single" w:color="D9D9D9" w:sz="6" w:space="4"/>
        </w:pBdr>
        <w:spacing w:after="150" w:before="300"/>
      </w:pPr>
      <w:r>
        <w:rPr>
          <w:rFonts w:ascii="Calibri" w:cs="Calibri" w:eastAsia="Calibri" w:hAnsi="Calibri"/>
          <w:b/>
          <w:bCs/>
          <w:color w:val="1F3864"/>
          <w:sz w:val="28"/>
          <w:szCs w:val="28"/>
        </w:rPr>
        <w:t xml:space="preserve">5. Technical Evaluation</w:t>
      </w:r>
    </w:p>
    <w:p>
      <w:pPr>
        <w:spacing w:after="140" w:line="276"/>
        <w:jc w:val="both"/>
      </w:pPr>
      <w:r>
        <w:rPr>
          <w:rFonts w:ascii="Calibri" w:cs="Calibri" w:eastAsia="Calibri" w:hAnsi="Calibri"/>
          <w:color w:val="222222"/>
          <w:sz w:val="21"/>
          <w:szCs w:val="21"/>
        </w:rPr>
        <w:t xml:space="preserve">Technical evaluation is conducted by Quality Assurance and the relevant Engineering function prior to qualification and upon any material change in a supplier's process, tooling, or manufacturing location. Technical evaluation covers process capability (Cpk ≥ 1.33 for critical dimensions), availability of a documented control plan, calibration records for measurement equipment, and, where applicable, First Article Inspection (FAI) results in accordance with AS9102 or equivalent methodology.</w:t>
      </w:r>
    </w:p>
    <w:p>
      <w:pPr>
        <w:pStyle w:val="Heading1"/>
        <w:pBdr>
          <w:bottom w:val="single" w:color="D9D9D9" w:sz="6" w:space="4"/>
        </w:pBdr>
        <w:spacing w:after="150" w:before="300"/>
      </w:pPr>
      <w:r>
        <w:rPr>
          <w:rFonts w:ascii="Calibri" w:cs="Calibri" w:eastAsia="Calibri" w:hAnsi="Calibri"/>
          <w:b/>
          <w:bCs/>
          <w:color w:val="1F3864"/>
          <w:sz w:val="28"/>
          <w:szCs w:val="28"/>
        </w:rPr>
        <w:t xml:space="preserve">6. Delivery Performance</w:t>
      </w:r>
    </w:p>
    <w:p>
      <w:pPr>
        <w:spacing w:after="140" w:line="276"/>
        <w:jc w:val="both"/>
      </w:pPr>
      <w:r>
        <w:rPr>
          <w:rFonts w:ascii="Calibri" w:cs="Calibri" w:eastAsia="Calibri" w:hAnsi="Calibri"/>
          <w:color w:val="222222"/>
          <w:sz w:val="21"/>
          <w:szCs w:val="21"/>
        </w:rPr>
        <w:t xml:space="preserve">On-time delivery (OTD) is measured as the percentage of purchase order line items received within the agreed delivery window (contractual lead time ± 2 calendar days), calculated monthly per supplier. The Company's minimum acceptable OTD threshold is 90%; suppliers falling below this threshold for two consecutive months are automatically placed on a Corrective Action Plan under Section 9.</w:t>
      </w:r>
    </w:p>
    <w:p>
      <w:pPr>
        <w:pStyle w:val="Heading1"/>
        <w:pBdr>
          <w:bottom w:val="single" w:color="D9D9D9" w:sz="6" w:space="4"/>
        </w:pBdr>
        <w:spacing w:after="150" w:before="300"/>
      </w:pPr>
      <w:r>
        <w:rPr>
          <w:rFonts w:ascii="Calibri" w:cs="Calibri" w:eastAsia="Calibri" w:hAnsi="Calibri"/>
          <w:b/>
          <w:bCs/>
          <w:color w:val="1F3864"/>
          <w:sz w:val="28"/>
          <w:szCs w:val="28"/>
        </w:rPr>
        <w:t xml:space="preserve">7. Quality Performance</w:t>
      </w:r>
    </w:p>
    <w:p>
      <w:pPr>
        <w:spacing w:after="140" w:line="276"/>
        <w:jc w:val="both"/>
      </w:pPr>
      <w:r>
        <w:rPr>
          <w:rFonts w:ascii="Calibri" w:cs="Calibri" w:eastAsia="Calibri" w:hAnsi="Calibri"/>
          <w:color w:val="222222"/>
          <w:sz w:val="21"/>
          <w:szCs w:val="21"/>
        </w:rPr>
        <w:t xml:space="preserve">Quality performance is measured using defect rate (rejected units ÷ units inspected), parts-per-million (PPM) reject rate for high-volume electronics, and the number of customer-facing quality escapes attributable to the supplier. Incoming inspection is performed per the sampling plan defined in the applicable Supplier Contract, generally in accordance with ANSI/ASQ Z1.4 General Inspection Level II unless a tightened or reduced plan is contractually specified.</w:t>
      </w:r>
    </w:p>
    <w:p>
      <w:pPr>
        <w:pStyle w:val="Heading1"/>
        <w:pBdr>
          <w:bottom w:val="single" w:color="D9D9D9" w:sz="6" w:space="4"/>
        </w:pBdr>
        <w:spacing w:after="150" w:before="300"/>
      </w:pPr>
      <w:r>
        <w:rPr>
          <w:rFonts w:ascii="Calibri" w:cs="Calibri" w:eastAsia="Calibri" w:hAnsi="Calibri"/>
          <w:b/>
          <w:bCs/>
          <w:color w:val="1F3864"/>
          <w:sz w:val="28"/>
          <w:szCs w:val="28"/>
        </w:rPr>
        <w:t xml:space="preserve">8. Compliance</w:t>
      </w:r>
    </w:p>
    <w:p>
      <w:pPr>
        <w:spacing w:after="140" w:line="276"/>
        <w:jc w:val="both"/>
      </w:pPr>
      <w:r>
        <w:rPr>
          <w:rFonts w:ascii="Calibri" w:cs="Calibri" w:eastAsia="Calibri" w:hAnsi="Calibri"/>
          <w:color w:val="222222"/>
          <w:sz w:val="21"/>
          <w:szCs w:val="21"/>
        </w:rPr>
        <w:t xml:space="preserve">Suppliers must maintain current certifications applicable to their category (for example, ISO 9001:2015 for general manufacturing, IPC-A-610 for electronic assemblies, or ISO 14001 for suppliers with significant environmental impact) and must promptly notify Nova Manufacturing Ltd. of any regulatory violation, product recall, or change in manufacturing location. Failure to maintain required certifications is grounds for immediate Conditional classification.</w:t>
      </w:r>
    </w:p>
    <w:p>
      <w:pPr>
        <w:pStyle w:val="Heading1"/>
        <w:pBdr>
          <w:bottom w:val="single" w:color="D9D9D9" w:sz="6" w:space="4"/>
        </w:pBdr>
        <w:spacing w:after="150" w:before="300"/>
      </w:pPr>
      <w:r>
        <w:rPr>
          <w:rFonts w:ascii="Calibri" w:cs="Calibri" w:eastAsia="Calibri" w:hAnsi="Calibri"/>
          <w:b/>
          <w:bCs/>
          <w:color w:val="1F3864"/>
          <w:sz w:val="28"/>
          <w:szCs w:val="28"/>
        </w:rPr>
        <w:t xml:space="preserve">9. Risk Assessment</w:t>
      </w:r>
    </w:p>
    <w:p>
      <w:pPr>
        <w:spacing w:after="140" w:line="276"/>
        <w:jc w:val="both"/>
      </w:pPr>
      <w:r>
        <w:rPr>
          <w:rFonts w:ascii="Calibri" w:cs="Calibri" w:eastAsia="Calibri" w:hAnsi="Calibri"/>
          <w:color w:val="222222"/>
          <w:sz w:val="21"/>
          <w:szCs w:val="21"/>
        </w:rPr>
        <w:t xml:space="preserve">Procurement, in conjunction with Quality Assurance and Finance, shall maintain a documented risk rating (Low / Medium / High) for every active supplier based on single-source status, geographic concentration, financial stability, and historical performance volatility. High-risk suppliers are reviewed at minimum semi-annually, and a qualified alternate source shall be pursued for any High-risk supplier providing a critical or safety-related component.</w:t>
      </w:r>
    </w:p>
    <w:p>
      <w:pPr>
        <w:pStyle w:val="Heading1"/>
        <w:pBdr>
          <w:bottom w:val="single" w:color="D9D9D9" w:sz="6" w:space="4"/>
        </w:pBdr>
        <w:spacing w:after="150" w:before="300"/>
      </w:pPr>
      <w:r>
        <w:rPr>
          <w:rFonts w:ascii="Calibri" w:cs="Calibri" w:eastAsia="Calibri" w:hAnsi="Calibri"/>
          <w:b/>
          <w:bCs/>
          <w:color w:val="1F3864"/>
          <w:sz w:val="28"/>
          <w:szCs w:val="28"/>
        </w:rPr>
        <w:t xml:space="preserve">10. Corrective Actions</w:t>
      </w:r>
    </w:p>
    <w:p>
      <w:pPr>
        <w:spacing w:after="140" w:line="276"/>
        <w:jc w:val="both"/>
      </w:pPr>
      <w:r>
        <w:rPr>
          <w:rFonts w:ascii="Calibri" w:cs="Calibri" w:eastAsia="Calibri" w:hAnsi="Calibri"/>
          <w:color w:val="222222"/>
          <w:sz w:val="21"/>
          <w:szCs w:val="21"/>
        </w:rPr>
        <w:t xml:space="preserve">Where a supplier's scorecard falls into the Conditional range, or a significant single quality or delivery failure occurs, Procurement shall issue a formal Supplier Corrective Action Request (SCAR). The supplier must respond within 10 business days with a root cause analysis (using 5-Why or Fishbone methodology) and a Corrective Action Plan with defined completion dates. Quality Assurance shall verify effectiveness of the corrective action through a follow-up audit or targeted incoming inspection within 60 days of implementation.</w:t>
      </w:r>
    </w:p>
    <w:p>
      <w:pPr>
        <w:pStyle w:val="Heading1"/>
        <w:pBdr>
          <w:bottom w:val="single" w:color="D9D9D9" w:sz="6" w:space="4"/>
        </w:pBdr>
        <w:spacing w:after="150" w:before="300"/>
      </w:pPr>
      <w:r>
        <w:rPr>
          <w:rFonts w:ascii="Calibri" w:cs="Calibri" w:eastAsia="Calibri" w:hAnsi="Calibri"/>
          <w:b/>
          <w:bCs/>
          <w:color w:val="1F3864"/>
          <w:sz w:val="28"/>
          <w:szCs w:val="28"/>
        </w:rPr>
        <w:t xml:space="preserve">11. Supplier Suspension</w:t>
      </w:r>
    </w:p>
    <w:p>
      <w:pPr>
        <w:spacing w:after="140" w:line="276"/>
        <w:jc w:val="both"/>
      </w:pPr>
      <w:r>
        <w:rPr>
          <w:rFonts w:ascii="Calibri" w:cs="Calibri" w:eastAsia="Calibri" w:hAnsi="Calibri"/>
          <w:color w:val="222222"/>
          <w:sz w:val="21"/>
          <w:szCs w:val="21"/>
        </w:rPr>
        <w:t xml:space="preserve">A supplier shall be suspended from receiving new purchase orders where any of the following occur: (a) an overall scorecard score below 60 for two consecutive quarters; (b) failure to close out a SCAR within the agreed timeline; (c) a quality escape resulting in a customer safety issue or regulatory reportable event; or (d) loss of a required certification without an approved remediation plan. Suspension decisions require joint sign-off from the Director of Procurement and the Head of Quality Assurance, and existing open purchase orders shall be reviewed individually for continuation or cancellation.</w:t>
      </w:r>
    </w:p>
    <w:p>
      <w:pPr>
        <w:pStyle w:val="Heading1"/>
        <w:pBdr>
          <w:bottom w:val="single" w:color="D9D9D9" w:sz="6" w:space="4"/>
        </w:pBdr>
        <w:spacing w:after="150" w:before="300"/>
      </w:pPr>
      <w:r>
        <w:rPr>
          <w:rFonts w:ascii="Calibri" w:cs="Calibri" w:eastAsia="Calibri" w:hAnsi="Calibri"/>
          <w:b/>
          <w:bCs/>
          <w:color w:val="1F3864"/>
          <w:sz w:val="28"/>
          <w:szCs w:val="28"/>
        </w:rPr>
        <w:t xml:space="preserve">12. Preferred Supplier Program</w:t>
      </w:r>
    </w:p>
    <w:p>
      <w:pPr>
        <w:spacing w:after="140" w:line="276"/>
        <w:jc w:val="both"/>
      </w:pPr>
      <w:r>
        <w:rPr>
          <w:rFonts w:ascii="Calibri" w:cs="Calibri" w:eastAsia="Calibri" w:hAnsi="Calibri"/>
          <w:color w:val="222222"/>
          <w:sz w:val="21"/>
          <w:szCs w:val="21"/>
        </w:rPr>
        <w:t xml:space="preserve">Suppliers achieving and sustaining a Preferred classification (scorecard ≥ 90) for four consecutive quarters are eligible for the Preferred Supplier Program, which offers benefits including multi-year contract consideration, reduced incoming inspection sampling, priority access to new sourcing opportunities, and, where mutually agreed, collaborative cost-reduction and continuous improvement initiatives. Preferred status is reviewed annually and may be revoked immediately upon a major quality or ethics violation.</w:t>
      </w:r>
    </w:p>
    <w:p>
      <w:pPr>
        <w:pStyle w:val="Heading1"/>
        <w:pBdr>
          <w:bottom w:val="single" w:color="D9D9D9" w:sz="6" w:space="4"/>
        </w:pBdr>
        <w:spacing w:after="150" w:before="300"/>
      </w:pPr>
      <w:r>
        <w:rPr>
          <w:rFonts w:ascii="Calibri" w:cs="Calibri" w:eastAsia="Calibri" w:hAnsi="Calibri"/>
          <w:b/>
          <w:bCs/>
          <w:color w:val="1F3864"/>
          <w:sz w:val="28"/>
          <w:szCs w:val="28"/>
        </w:rPr>
        <w:t xml:space="preserve">13. Supplier Re-Evaluation</w:t>
      </w:r>
    </w:p>
    <w:p>
      <w:pPr>
        <w:spacing w:after="140" w:line="276"/>
        <w:jc w:val="both"/>
      </w:pPr>
      <w:r>
        <w:rPr>
          <w:rFonts w:ascii="Calibri" w:cs="Calibri" w:eastAsia="Calibri" w:hAnsi="Calibri"/>
          <w:color w:val="222222"/>
          <w:sz w:val="21"/>
          <w:szCs w:val="21"/>
        </w:rPr>
        <w:t xml:space="preserve">All active suppliers are formally re-evaluated on an annual basis regardless of scorecard trend, incorporating a full review of financial standing, certification currency, and cumulative performance data. Suspended suppliers seeking reinstatement must undergo full re-qualification per Section 2, including a follow-up audit by Quality Assurance, before reinstatement to the Approved Supplier List.</w:t>
      </w:r>
    </w:p>
    <w:p>
      <w:pPr>
        <w:pStyle w:val="Heading1"/>
        <w:pBdr>
          <w:bottom w:val="single" w:color="D9D9D9" w:sz="6" w:space="4"/>
        </w:pBdr>
        <w:spacing w:after="150" w:before="300"/>
      </w:pPr>
      <w:r>
        <w:rPr>
          <w:rFonts w:ascii="Calibri" w:cs="Calibri" w:eastAsia="Calibri" w:hAnsi="Calibri"/>
          <w:b/>
          <w:bCs/>
          <w:color w:val="1F3864"/>
          <w:sz w:val="28"/>
          <w:szCs w:val="28"/>
        </w:rPr>
        <w:t xml:space="preserve">14. Supplier Evaluation KPIs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4200"/>
        <w:gridCol w:w="2400"/>
        <w:gridCol w:w="2600"/>
      </w:tblGrid>
      <w:tr>
        <w:trPr>
          <w:tblHeader/>
        </w:trPr>
        <w:tc>
          <w:tcPr>
            <w:tcW w:type="dxa" w:w="4200"/>
            <w:shd w:fill="1F3864"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KPI</w:t>
            </w:r>
          </w:p>
        </w:tc>
        <w:tc>
          <w:tcPr>
            <w:tcW w:type="dxa" w:w="2400"/>
            <w:shd w:fill="1F3864"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Target</w:t>
            </w:r>
          </w:p>
        </w:tc>
        <w:tc>
          <w:tcPr>
            <w:tcW w:type="dxa" w:w="2600"/>
            <w:shd w:fill="1F3864"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Reporting Frequency</w:t>
            </w:r>
          </w:p>
        </w:tc>
      </w:tr>
      <w:tr>
        <w:tc>
          <w:tcPr>
            <w:tcW w:type="dxa" w:w="4200"/>
            <w:tcMar>
              <w:top w:type="dxa" w:w="70"/>
              <w:left w:type="dxa" w:w="100"/>
              <w:bottom w:type="dxa" w:w="70"/>
              <w:right w:type="dxa" w:w="100"/>
            </w:tcMar>
            <w:vAlign w:val="center"/>
          </w:tcPr>
          <w:p>
            <w:pPr>
              <w:jc w:val="left"/>
            </w:pPr>
            <w:r>
              <w:rPr>
                <w:rFonts w:ascii="Calibri" w:cs="Calibri" w:eastAsia="Calibri" w:hAnsi="Calibri"/>
                <w:b w:val="false"/>
                <w:bCs w:val="false"/>
                <w:color w:val="222222"/>
                <w:sz w:val="19"/>
                <w:szCs w:val="19"/>
              </w:rPr>
              <w:t xml:space="preserve">Average Supplier Scorecard (all active suppliers)</w:t>
            </w:r>
          </w:p>
        </w:tc>
        <w:tc>
          <w:tcPr>
            <w:tcW w:type="dxa" w:w="2400"/>
            <w:tcMar>
              <w:top w:type="dxa" w:w="70"/>
              <w:left w:type="dxa" w:w="100"/>
              <w:bottom w:type="dxa" w:w="70"/>
              <w:right w:type="dxa" w:w="100"/>
            </w:tcMar>
            <w:vAlign w:val="center"/>
          </w:tcPr>
          <w:p>
            <w:pPr>
              <w:jc w:val="left"/>
            </w:pPr>
            <w:r>
              <w:rPr>
                <w:rFonts w:ascii="Calibri" w:cs="Calibri" w:eastAsia="Calibri" w:hAnsi="Calibri"/>
                <w:b w:val="false"/>
                <w:bCs w:val="false"/>
                <w:color w:val="222222"/>
                <w:sz w:val="19"/>
                <w:szCs w:val="19"/>
              </w:rPr>
              <w:t xml:space="preserve">≥ 85 / 100</w:t>
            </w:r>
          </w:p>
        </w:tc>
        <w:tc>
          <w:tcPr>
            <w:tcW w:type="dxa" w:w="2600"/>
            <w:tcMar>
              <w:top w:type="dxa" w:w="70"/>
              <w:left w:type="dxa" w:w="100"/>
              <w:bottom w:type="dxa" w:w="70"/>
              <w:right w:type="dxa" w:w="100"/>
            </w:tcMar>
            <w:vAlign w:val="center"/>
          </w:tcPr>
          <w:p>
            <w:pPr>
              <w:jc w:val="left"/>
            </w:pPr>
            <w:r>
              <w:rPr>
                <w:rFonts w:ascii="Calibri" w:cs="Calibri" w:eastAsia="Calibri" w:hAnsi="Calibri"/>
                <w:b w:val="false"/>
                <w:bCs w:val="false"/>
                <w:color w:val="222222"/>
                <w:sz w:val="19"/>
                <w:szCs w:val="19"/>
              </w:rPr>
              <w:t xml:space="preserve">Quarterly</w:t>
            </w:r>
          </w:p>
        </w:tc>
      </w:tr>
      <w:tr>
        <w:tc>
          <w:tcPr>
            <w:tcW w:type="dxa" w:w="4200"/>
            <w:shd w:fill="F2F2F2" w:val="clear"/>
            <w:tcMar>
              <w:top w:type="dxa" w:w="70"/>
              <w:left w:type="dxa" w:w="100"/>
              <w:bottom w:type="dxa" w:w="70"/>
              <w:right w:type="dxa" w:w="100"/>
            </w:tcMar>
            <w:vAlign w:val="center"/>
          </w:tcPr>
          <w:p>
            <w:pPr>
              <w:jc w:val="left"/>
            </w:pPr>
            <w:r>
              <w:rPr>
                <w:rFonts w:ascii="Calibri" w:cs="Calibri" w:eastAsia="Calibri" w:hAnsi="Calibri"/>
                <w:b w:val="false"/>
                <w:bCs w:val="false"/>
                <w:color w:val="222222"/>
                <w:sz w:val="19"/>
                <w:szCs w:val="19"/>
              </w:rPr>
              <w:t xml:space="preserve">Suppliers in Conditional or Suspended Status</w:t>
            </w:r>
          </w:p>
        </w:tc>
        <w:tc>
          <w:tcPr>
            <w:tcW w:type="dxa" w:w="2400"/>
            <w:shd w:fill="F2F2F2" w:val="clear"/>
            <w:tcMar>
              <w:top w:type="dxa" w:w="70"/>
              <w:left w:type="dxa" w:w="100"/>
              <w:bottom w:type="dxa" w:w="70"/>
              <w:right w:type="dxa" w:w="100"/>
            </w:tcMar>
            <w:vAlign w:val="center"/>
          </w:tcPr>
          <w:p>
            <w:pPr>
              <w:jc w:val="left"/>
            </w:pPr>
            <w:r>
              <w:rPr>
                <w:rFonts w:ascii="Calibri" w:cs="Calibri" w:eastAsia="Calibri" w:hAnsi="Calibri"/>
                <w:b w:val="false"/>
                <w:bCs w:val="false"/>
                <w:color w:val="222222"/>
                <w:sz w:val="19"/>
                <w:szCs w:val="19"/>
              </w:rPr>
              <w:t xml:space="preserve">≤ 8% of ASL</w:t>
            </w:r>
          </w:p>
        </w:tc>
        <w:tc>
          <w:tcPr>
            <w:tcW w:type="dxa" w:w="2600"/>
            <w:shd w:fill="F2F2F2" w:val="clear"/>
            <w:tcMar>
              <w:top w:type="dxa" w:w="70"/>
              <w:left w:type="dxa" w:w="100"/>
              <w:bottom w:type="dxa" w:w="70"/>
              <w:right w:type="dxa" w:w="100"/>
            </w:tcMar>
            <w:vAlign w:val="center"/>
          </w:tcPr>
          <w:p>
            <w:pPr>
              <w:jc w:val="left"/>
            </w:pPr>
            <w:r>
              <w:rPr>
                <w:rFonts w:ascii="Calibri" w:cs="Calibri" w:eastAsia="Calibri" w:hAnsi="Calibri"/>
                <w:b w:val="false"/>
                <w:bCs w:val="false"/>
                <w:color w:val="222222"/>
                <w:sz w:val="19"/>
                <w:szCs w:val="19"/>
              </w:rPr>
              <w:t xml:space="preserve">Quarterly</w:t>
            </w:r>
          </w:p>
        </w:tc>
      </w:tr>
      <w:tr>
        <w:tc>
          <w:tcPr>
            <w:tcW w:type="dxa" w:w="4200"/>
            <w:tcMar>
              <w:top w:type="dxa" w:w="70"/>
              <w:left w:type="dxa" w:w="100"/>
              <w:bottom w:type="dxa" w:w="70"/>
              <w:right w:type="dxa" w:w="100"/>
            </w:tcMar>
            <w:vAlign w:val="center"/>
          </w:tcPr>
          <w:p>
            <w:pPr>
              <w:jc w:val="left"/>
            </w:pPr>
            <w:r>
              <w:rPr>
                <w:rFonts w:ascii="Calibri" w:cs="Calibri" w:eastAsia="Calibri" w:hAnsi="Calibri"/>
                <w:b w:val="false"/>
                <w:bCs w:val="false"/>
                <w:color w:val="222222"/>
                <w:sz w:val="19"/>
                <w:szCs w:val="19"/>
              </w:rPr>
              <w:t xml:space="preserve">SCAR Closure within Agreed Timeline</w:t>
            </w:r>
          </w:p>
        </w:tc>
        <w:tc>
          <w:tcPr>
            <w:tcW w:type="dxa" w:w="2400"/>
            <w:tcMar>
              <w:top w:type="dxa" w:w="70"/>
              <w:left w:type="dxa" w:w="100"/>
              <w:bottom w:type="dxa" w:w="70"/>
              <w:right w:type="dxa" w:w="100"/>
            </w:tcMar>
            <w:vAlign w:val="center"/>
          </w:tcPr>
          <w:p>
            <w:pPr>
              <w:jc w:val="left"/>
            </w:pPr>
            <w:r>
              <w:rPr>
                <w:rFonts w:ascii="Calibri" w:cs="Calibri" w:eastAsia="Calibri" w:hAnsi="Calibri"/>
                <w:b w:val="false"/>
                <w:bCs w:val="false"/>
                <w:color w:val="222222"/>
                <w:sz w:val="19"/>
                <w:szCs w:val="19"/>
              </w:rPr>
              <w:t xml:space="preserve">≥ 90%</w:t>
            </w:r>
          </w:p>
        </w:tc>
        <w:tc>
          <w:tcPr>
            <w:tcW w:type="dxa" w:w="2600"/>
            <w:tcMar>
              <w:top w:type="dxa" w:w="70"/>
              <w:left w:type="dxa" w:w="100"/>
              <w:bottom w:type="dxa" w:w="70"/>
              <w:right w:type="dxa" w:w="100"/>
            </w:tcMar>
            <w:vAlign w:val="center"/>
          </w:tcPr>
          <w:p>
            <w:pPr>
              <w:jc w:val="left"/>
            </w:pPr>
            <w:r>
              <w:rPr>
                <w:rFonts w:ascii="Calibri" w:cs="Calibri" w:eastAsia="Calibri" w:hAnsi="Calibri"/>
                <w:b w:val="false"/>
                <w:bCs w:val="false"/>
                <w:color w:val="222222"/>
                <w:sz w:val="19"/>
                <w:szCs w:val="19"/>
              </w:rPr>
              <w:t xml:space="preserve">Monthly</w:t>
            </w:r>
          </w:p>
        </w:tc>
      </w:tr>
      <w:tr>
        <w:tc>
          <w:tcPr>
            <w:tcW w:type="dxa" w:w="4200"/>
            <w:shd w:fill="F2F2F2" w:val="clear"/>
            <w:tcMar>
              <w:top w:type="dxa" w:w="70"/>
              <w:left w:type="dxa" w:w="100"/>
              <w:bottom w:type="dxa" w:w="70"/>
              <w:right w:type="dxa" w:w="100"/>
            </w:tcMar>
            <w:vAlign w:val="center"/>
          </w:tcPr>
          <w:p>
            <w:pPr>
              <w:jc w:val="left"/>
            </w:pPr>
            <w:r>
              <w:rPr>
                <w:rFonts w:ascii="Calibri" w:cs="Calibri" w:eastAsia="Calibri" w:hAnsi="Calibri"/>
                <w:b w:val="false"/>
                <w:bCs w:val="false"/>
                <w:color w:val="222222"/>
                <w:sz w:val="19"/>
                <w:szCs w:val="19"/>
              </w:rPr>
              <w:t xml:space="preserve">Preferred Supplier Program Membership</w:t>
            </w:r>
          </w:p>
        </w:tc>
        <w:tc>
          <w:tcPr>
            <w:tcW w:type="dxa" w:w="2400"/>
            <w:shd w:fill="F2F2F2" w:val="clear"/>
            <w:tcMar>
              <w:top w:type="dxa" w:w="70"/>
              <w:left w:type="dxa" w:w="100"/>
              <w:bottom w:type="dxa" w:w="70"/>
              <w:right w:type="dxa" w:w="100"/>
            </w:tcMar>
            <w:vAlign w:val="center"/>
          </w:tcPr>
          <w:p>
            <w:pPr>
              <w:jc w:val="left"/>
            </w:pPr>
            <w:r>
              <w:rPr>
                <w:rFonts w:ascii="Calibri" w:cs="Calibri" w:eastAsia="Calibri" w:hAnsi="Calibri"/>
                <w:b w:val="false"/>
                <w:bCs w:val="false"/>
                <w:color w:val="222222"/>
                <w:sz w:val="19"/>
                <w:szCs w:val="19"/>
              </w:rPr>
              <w:t xml:space="preserve">≥ 20% of ASL by spend</w:t>
            </w:r>
          </w:p>
        </w:tc>
        <w:tc>
          <w:tcPr>
            <w:tcW w:type="dxa" w:w="2600"/>
            <w:shd w:fill="F2F2F2" w:val="clear"/>
            <w:tcMar>
              <w:top w:type="dxa" w:w="70"/>
              <w:left w:type="dxa" w:w="100"/>
              <w:bottom w:type="dxa" w:w="70"/>
              <w:right w:type="dxa" w:w="100"/>
            </w:tcMar>
            <w:vAlign w:val="center"/>
          </w:tcPr>
          <w:p>
            <w:pPr>
              <w:jc w:val="left"/>
            </w:pPr>
            <w:r>
              <w:rPr>
                <w:rFonts w:ascii="Calibri" w:cs="Calibri" w:eastAsia="Calibri" w:hAnsi="Calibri"/>
                <w:b w:val="false"/>
                <w:bCs w:val="false"/>
                <w:color w:val="222222"/>
                <w:sz w:val="19"/>
                <w:szCs w:val="19"/>
              </w:rPr>
              <w:t xml:space="preserve">Annual</w:t>
            </w:r>
          </w:p>
        </w:tc>
      </w:tr>
      <w:tr>
        <w:tc>
          <w:tcPr>
            <w:tcW w:type="dxa" w:w="4200"/>
            <w:tcMar>
              <w:top w:type="dxa" w:w="70"/>
              <w:left w:type="dxa" w:w="100"/>
              <w:bottom w:type="dxa" w:w="70"/>
              <w:right w:type="dxa" w:w="100"/>
            </w:tcMar>
            <w:vAlign w:val="center"/>
          </w:tcPr>
          <w:p>
            <w:pPr>
              <w:jc w:val="left"/>
            </w:pPr>
            <w:r>
              <w:rPr>
                <w:rFonts w:ascii="Calibri" w:cs="Calibri" w:eastAsia="Calibri" w:hAnsi="Calibri"/>
                <w:b w:val="false"/>
                <w:bCs w:val="false"/>
                <w:color w:val="222222"/>
                <w:sz w:val="19"/>
                <w:szCs w:val="19"/>
              </w:rPr>
              <w:t xml:space="preserve">Suppliers with Current Required Certification</w:t>
            </w:r>
          </w:p>
        </w:tc>
        <w:tc>
          <w:tcPr>
            <w:tcW w:type="dxa" w:w="2400"/>
            <w:tcMar>
              <w:top w:type="dxa" w:w="70"/>
              <w:left w:type="dxa" w:w="100"/>
              <w:bottom w:type="dxa" w:w="70"/>
              <w:right w:type="dxa" w:w="100"/>
            </w:tcMar>
            <w:vAlign w:val="center"/>
          </w:tcPr>
          <w:p>
            <w:pPr>
              <w:jc w:val="left"/>
            </w:pPr>
            <w:r>
              <w:rPr>
                <w:rFonts w:ascii="Calibri" w:cs="Calibri" w:eastAsia="Calibri" w:hAnsi="Calibri"/>
                <w:b w:val="false"/>
                <w:bCs w:val="false"/>
                <w:color w:val="222222"/>
                <w:sz w:val="19"/>
                <w:szCs w:val="19"/>
              </w:rPr>
              <w:t xml:space="preserve">100%</w:t>
            </w:r>
          </w:p>
        </w:tc>
        <w:tc>
          <w:tcPr>
            <w:tcW w:type="dxa" w:w="2600"/>
            <w:tcMar>
              <w:top w:type="dxa" w:w="70"/>
              <w:left w:type="dxa" w:w="100"/>
              <w:bottom w:type="dxa" w:w="70"/>
              <w:right w:type="dxa" w:w="100"/>
            </w:tcMar>
            <w:vAlign w:val="center"/>
          </w:tcPr>
          <w:p>
            <w:pPr>
              <w:jc w:val="left"/>
            </w:pPr>
            <w:r>
              <w:rPr>
                <w:rFonts w:ascii="Calibri" w:cs="Calibri" w:eastAsia="Calibri" w:hAnsi="Calibri"/>
                <w:b w:val="false"/>
                <w:bCs w:val="false"/>
                <w:color w:val="222222"/>
                <w:sz w:val="19"/>
                <w:szCs w:val="19"/>
              </w:rPr>
              <w:t xml:space="preserve">Quarterly</w:t>
            </w:r>
          </w:p>
        </w:tc>
      </w:tr>
    </w:tbl>
    <w:p>
      <w:pPr>
        <w:pStyle w:val="Heading1"/>
        <w:pBdr>
          <w:bottom w:val="single" w:color="D9D9D9" w:sz="6" w:space="4"/>
        </w:pBdr>
        <w:spacing w:after="150" w:before="300"/>
      </w:pPr>
      <w:r>
        <w:rPr>
          <w:rFonts w:ascii="Calibri" w:cs="Calibri" w:eastAsia="Calibri" w:hAnsi="Calibri"/>
          <w:b/>
          <w:bCs/>
          <w:color w:val="1F3864"/>
          <w:sz w:val="28"/>
          <w:szCs w:val="28"/>
        </w:rPr>
        <w:t xml:space="preserve">15. Policy Ownership and Review</w:t>
      </w:r>
    </w:p>
    <w:p>
      <w:pPr>
        <w:spacing w:after="140" w:line="276"/>
        <w:jc w:val="both"/>
      </w:pPr>
      <w:r>
        <w:rPr>
          <w:rFonts w:ascii="Calibri" w:cs="Calibri" w:eastAsia="Calibri" w:hAnsi="Calibri"/>
          <w:color w:val="222222"/>
          <w:sz w:val="21"/>
          <w:szCs w:val="21"/>
        </w:rPr>
        <w:t xml:space="preserve">This Policy is owned by the Director of Procurement and reviewed annually in conjunction with Quality Assurance and Finance. Material revisions require approval from the Chief Operating Officer. This version supersedes all prior versions effective as of the Revision Date stated on the title page.</w:t>
      </w:r>
    </w:p>
    <w:sectPr>
      <w:headerReference w:type="default" r:id="rId9"/>
      <w:footerReference w:type="default" r:id="rId10"/>
      <w:pgSz w:w="12240" w:h="15840" w:orient="portrait"/>
      <w:pgMar w:top="1080" w:right="1260" w:bottom="1080" w:left="1260" w:header="708" w:footer="708" w:gutter="0"/>
      <w:pgNumType/>
      <w:titlePg w:val="fals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3864" w:sz="6" w:space="4"/>
      </w:pBdr>
      <w:tabs>
        <w:tab w:val="right" w:pos="9026"/>
      </w:tabs>
    </w:pPr>
    <w:r>
      <w:rPr>
        <w:rFonts w:ascii="Calibri" w:cs="Calibri" w:eastAsia="Calibri" w:hAnsi="Calibri"/>
        <w:color w:val="44546A"/>
        <w:sz w:val="16"/>
        <w:szCs w:val="16"/>
      </w:rPr>
      <w:t xml:space="preserve">Document ID: NML-POL-SUPEVAL-002</w:t>
    </w:r>
    <w:r>
      <w:rPr>
        <w:rFonts w:ascii="Calibri" w:cs="Calibri" w:eastAsia="Calibri" w:hAnsi="Calibri"/>
        <w:color w:val="44546A"/>
        <w:sz w:val="16"/>
        <w:szCs w:val="16"/>
      </w:rPr>
      <w:t xml:space="preserve">	Page </w:t>
    </w:r>
    <w:r>
      <w:rPr>
        <w:rFonts w:ascii="Calibri" w:cs="Calibri" w:eastAsia="Calibri" w:hAnsi="Calibri"/>
        <w:color w:val="44546A"/>
        <w:sz w:val="16"/>
        <w:szCs w:val="16"/>
      </w:rPr>
      <w:fldChar w:fldCharType="begin"/>
      <w:instrText xml:space="preserve">PAGE</w:instrText>
      <w:fldChar w:fldCharType="separate"/>
      <w:fldChar w:fldCharType="end"/>
    </w:r>
    <w:r>
      <w:rPr>
        <w:rFonts w:ascii="Calibri" w:cs="Calibri" w:eastAsia="Calibri" w:hAnsi="Calibri"/>
        <w:color w:val="44546A"/>
        <w:sz w:val="16"/>
        <w:szCs w:val="16"/>
      </w:rPr>
      <w:t xml:space="preserve"> of </w:t>
    </w:r>
    <w:r>
      <w:rPr>
        <w:rFonts w:ascii="Calibri" w:cs="Calibri" w:eastAsia="Calibri" w:hAnsi="Calibri"/>
        <w:color w:val="44546A"/>
        <w:sz w:val="16"/>
        <w:szCs w:val="16"/>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3864" w:sz="6" w:space="4"/>
      </w:pBdr>
      <w:tabs>
        <w:tab w:val="right" w:pos="9026"/>
      </w:tabs>
    </w:pPr>
    <w:r>
      <w:rPr>
        <w:rFonts w:ascii="Calibri" w:cs="Calibri" w:eastAsia="Calibri" w:hAnsi="Calibri"/>
        <w:color w:val="44546A"/>
        <w:sz w:val="16"/>
        <w:szCs w:val="16"/>
      </w:rPr>
      <w:t xml:space="preserve">Document ID: NML-POL-SUPEVAL-002</w:t>
    </w:r>
    <w:r>
      <w:rPr>
        <w:rFonts w:ascii="Calibri" w:cs="Calibri" w:eastAsia="Calibri" w:hAnsi="Calibri"/>
        <w:color w:val="44546A"/>
        <w:sz w:val="16"/>
        <w:szCs w:val="16"/>
      </w:rPr>
      <w:t xml:space="preserve">	Page </w:t>
    </w:r>
    <w:r>
      <w:rPr>
        <w:rFonts w:ascii="Calibri" w:cs="Calibri" w:eastAsia="Calibri" w:hAnsi="Calibri"/>
        <w:color w:val="44546A"/>
        <w:sz w:val="16"/>
        <w:szCs w:val="16"/>
      </w:rPr>
      <w:fldChar w:fldCharType="begin"/>
      <w:instrText xml:space="preserve">PAGE</w:instrText>
      <w:fldChar w:fldCharType="separate"/>
      <w:fldChar w:fldCharType="end"/>
    </w:r>
    <w:r>
      <w:rPr>
        <w:rFonts w:ascii="Calibri" w:cs="Calibri" w:eastAsia="Calibri" w:hAnsi="Calibri"/>
        <w:color w:val="44546A"/>
        <w:sz w:val="16"/>
        <w:szCs w:val="16"/>
      </w:rPr>
      <w:t xml:space="preserve"> of </w:t>
    </w:r>
    <w:r>
      <w:rPr>
        <w:rFonts w:ascii="Calibri" w:cs="Calibri" w:eastAsia="Calibri" w:hAnsi="Calibri"/>
        <w:color w:val="44546A"/>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864" w:sz="6" w:space="4"/>
      </w:pBdr>
      <w:tabs>
        <w:tab w:val="right" w:pos="9026"/>
      </w:tabs>
    </w:pPr>
    <w:r>
      <w:rPr>
        <w:rFonts w:ascii="Calibri" w:cs="Calibri" w:eastAsia="Calibri" w:hAnsi="Calibri"/>
        <w:b/>
        <w:bCs/>
        <w:color w:val="1F3864"/>
        <w:sz w:val="18"/>
        <w:szCs w:val="18"/>
      </w:rPr>
      <w:t xml:space="preserve">Nova Manufacturing Ltd.</w:t>
    </w:r>
    <w:r>
      <w:rPr>
        <w:rFonts w:ascii="Calibri" w:cs="Calibri" w:eastAsia="Calibri" w:hAnsi="Calibri"/>
        <w:i/>
        <w:iCs/>
        <w:color w:val="44546A"/>
        <w:sz w:val="18"/>
        <w:szCs w:val="18"/>
      </w:rPr>
      <w:t xml:space="preserve">	Supplier Evaluation Policy</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864" w:sz="6" w:space="4"/>
      </w:pBdr>
      <w:tabs>
        <w:tab w:val="right" w:pos="9026"/>
      </w:tabs>
    </w:pPr>
    <w:r>
      <w:rPr>
        <w:rFonts w:ascii="Calibri" w:cs="Calibri" w:eastAsia="Calibri" w:hAnsi="Calibri"/>
        <w:b/>
        <w:bCs/>
        <w:color w:val="1F3864"/>
        <w:sz w:val="18"/>
        <w:szCs w:val="18"/>
      </w:rPr>
      <w:t xml:space="preserve">Nova Manufacturing Ltd.</w:t>
    </w:r>
    <w:r>
      <w:rPr>
        <w:rFonts w:ascii="Calibri" w:cs="Calibri" w:eastAsia="Calibri" w:hAnsi="Calibri"/>
        <w:i/>
        <w:iCs/>
        <w:color w:val="44546A"/>
        <w:sz w:val="18"/>
        <w:szCs w:val="18"/>
      </w:rPr>
      <w:t xml:space="preserve">	Supplier Evaluation Policy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920" w:hanging="260"/>
      </w:pPr>
    </w:lvl>
  </w:abstractNum>
  <w:abstractNum w:abstractNumId="3" w15:restartNumberingAfterBreak="0">
    <w:multiLevelType w:val="hybridMultilevel"/>
    <w:lvl w:ilvl="0" w15:tentative="1">
      <w:start w:val="1"/>
      <w:numFmt w:val="decimal"/>
      <w:lvlText w:val="%1."/>
      <w:lvlJc w:val="left"/>
      <w:pPr>
        <w:ind w:left="460" w:hanging="260"/>
      </w:pPr>
    </w:lvl>
    <w:lvl w:ilvl="1" w15:tentative="1">
      <w:start w:val="1"/>
      <w:numFmt w:val="lowerLetter"/>
      <w:lvlText w:val="%2)"/>
      <w:lvlJc w:val="left"/>
      <w:pPr>
        <w:ind w:left="92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222"/>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2026-07-19T17:22:11.451Z</dcterms:created>
  <dcterms:modified xsi:type="dcterms:W3CDTF">2026-07-19T17:22:11.451Z</dcterms:modified>
</cp:coreProperties>
</file>

<file path=docProps/custom.xml><?xml version="1.0" encoding="utf-8"?>
<Properties xmlns="http://schemas.openxmlformats.org/officeDocument/2006/custom-properties" xmlns:vt="http://schemas.openxmlformats.org/officeDocument/2006/docPropsVTypes"/>
</file>