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pBdr>
          <w:top w:val="single" w:color="1F3864" w:sz="12" w:space="8"/>
          <w:bottom w:val="single" w:color="1F3864" w:sz="12" w:space="8"/>
          <w:left w:val="single" w:color="1F3864" w:sz="12" w:space="8"/>
          <w:right w:val="single" w:color="1F3864" w:sz="12" w:space="8"/>
        </w:pBdr>
        <w:spacing w:after="200"/>
        <w:jc w:val="center"/>
      </w:pPr>
      <w:r>
        <w:rPr>
          <w:rFonts w:ascii="Calibri" w:cs="Calibri" w:eastAsia="Calibri" w:hAnsi="Calibri"/>
          <w:b/>
          <w:bCs/>
          <w:color w:val="1F3864"/>
          <w:sz w:val="20"/>
          <w:szCs w:val="20"/>
        </w:rPr>
        <w:t xml:space="preserve">[ NOVA MANUFACTURING LTD. — COMPANY LOGO ]</w:t>
      </w:r>
    </w:p>
    <w:p>
      <w:pPr>
        <w:spacing w:after="200" w:before="600"/>
        <w:jc w:val="center"/>
      </w:pPr>
      <w:r>
        <w:rPr>
          <w:rFonts w:ascii="Calibri" w:cs="Calibri" w:eastAsia="Calibri" w:hAnsi="Calibri"/>
          <w:b/>
          <w:bCs/>
          <w:color w:val="1F3864"/>
          <w:sz w:val="40"/>
          <w:szCs w:val="40"/>
        </w:rPr>
        <w:t xml:space="preserve">Nova Manufacturing Ltd.</w:t>
      </w:r>
    </w:p>
    <w:p>
      <w:pPr>
        <w:spacing w:after="100"/>
        <w:jc w:val="center"/>
      </w:pPr>
      <w:r>
        <w:rPr>
          <w:rFonts w:ascii="Calibri" w:cs="Calibri" w:eastAsia="Calibri" w:hAnsi="Calibri"/>
          <w:b/>
          <w:bCs/>
          <w:color w:val="44546A"/>
          <w:sz w:val="32"/>
          <w:szCs w:val="32"/>
        </w:rPr>
        <w:t xml:space="preserve">Supplier Contract — Alpha_Inc</w:t>
      </w:r>
    </w:p>
    <w:p>
      <w:pPr>
        <w:spacing w:after="600"/>
        <w:jc w:val="center"/>
      </w:pPr>
      <w:r>
        <w:rPr>
          <w:rFonts w:ascii="Calibri" w:cs="Calibri" w:eastAsia="Calibri" w:hAnsi="Calibri"/>
          <w:i/>
          <w:iCs/>
          <w:color w:val="44546A"/>
          <w:sz w:val="24"/>
          <w:szCs w:val="24"/>
        </w:rPr>
        <w:t xml:space="preserve">Master Supply Agreement for Electronic Components and Assemblies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ID:</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NML-SC-ALPHA-2024-001</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Version: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1.1</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Issue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February 1, 2024</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Revision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January 12,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Owner:</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Procurement Manager — Electronics Category</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Classification: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Confidential — Contains Commercial Terms</w:t>
            </w:r>
          </w:p>
        </w:tc>
      </w:tr>
    </w:tbl>
    <w:p>
      <w:r>
        <w:br w:type="page"/>
      </w:r>
    </w:p>
    <w:p>
      <w:pPr>
        <w:sectPr>
          <w:headerReference w:type="default" r:id="rId7"/>
          <w:footerReference w:type="default" r:id="rId8"/>
          <w:pgSz w:w="12240" w:h="15840" w:orient="portrait"/>
          <w:pgMar w:top="1080" w:right="1260" w:bottom="1080" w:left="1260" w:header="708" w:footer="708" w:gutter="0"/>
          <w:pgNumType/>
          <w:titlePg w:val="false"/>
          <w:docGrid w:linePitch="360"/>
        </w:sectPr>
      </w:pPr>
    </w:p>
    <w:p>
      <w:pPr>
        <w:pStyle w:val="Heading1"/>
        <w:pBdr>
          <w:bottom w:val="single" w:color="D9D9D9" w:sz="6" w:space="4"/>
        </w:pBdr>
        <w:spacing w:after="150" w:before="300"/>
      </w:pPr>
      <w:r>
        <w:rPr>
          <w:rFonts w:ascii="Calibri" w:cs="Calibri" w:eastAsia="Calibri" w:hAnsi="Calibri"/>
          <w:b/>
          <w:bCs/>
          <w:color w:val="1F3864"/>
          <w:sz w:val="28"/>
          <w:szCs w:val="28"/>
        </w:rPr>
        <w:t xml:space="preserve">1. Contract Identification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Detail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Contract Number</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NML-SC-ALPHA-2024-001</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Effective Date</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February 1, 2024</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Initial Term</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24 months (through January 31, 2026)</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Renewal</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Automatic 12-month renewal unless either party provides 60 days' written notice of non-renewal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Category</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Electronics — Control Modules, Sensors, PCB Assemblies, Relays</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2. Parties</w:t>
      </w:r>
    </w:p>
    <w:p>
      <w:pPr>
        <w:spacing w:after="140" w:line="276"/>
        <w:jc w:val="both"/>
      </w:pPr>
      <w:r>
        <w:rPr>
          <w:rFonts w:ascii="Calibri" w:cs="Calibri" w:eastAsia="Calibri" w:hAnsi="Calibri"/>
          <w:color w:val="222222"/>
          <w:sz w:val="21"/>
          <w:szCs w:val="21"/>
        </w:rPr>
        <w:t xml:space="preserve">This Master Supply Agreement ("Agreement") is entered into as of February 1, 2024 (the "Effective Date") by and between:</w:t>
      </w:r>
    </w:p>
    <w:p>
      <w:pPr>
        <w:spacing w:after="140" w:line="276"/>
        <w:jc w:val="both"/>
      </w:pPr>
      <w:r>
        <w:rPr>
          <w:rFonts w:ascii="Calibri" w:cs="Calibri" w:eastAsia="Calibri" w:hAnsi="Calibri"/>
          <w:color w:val="222222"/>
          <w:sz w:val="21"/>
          <w:szCs w:val="21"/>
        </w:rPr>
        <w:t xml:space="preserve">Nova Manufacturing Ltd., a corporation organized under the laws of the State of Delaware, with its principal manufacturing facility at 1200 Foundry Road, Akron, Ohio 44301 ("Buyer" or "Nova Manufacturing"); and</w:t>
      </w:r>
    </w:p>
    <w:p>
      <w:pPr>
        <w:spacing w:after="140" w:line="276"/>
        <w:jc w:val="both"/>
      </w:pPr>
      <w:r>
        <w:rPr>
          <w:rFonts w:ascii="Calibri" w:cs="Calibri" w:eastAsia="Calibri" w:hAnsi="Calibri"/>
          <w:color w:val="222222"/>
          <w:sz w:val="21"/>
          <w:szCs w:val="21"/>
        </w:rPr>
        <w:t xml:space="preserve">Alpha_Inc, a corporation organized under the laws of the State of California, with its principal place of business at 4820 Innovation Parkway, San Jose, California 95134 ("Supplier" or "Alpha_Inc").</w:t>
      </w:r>
    </w:p>
    <w:p>
      <w:pPr>
        <w:spacing w:after="140" w:line="276"/>
        <w:jc w:val="both"/>
      </w:pPr>
      <w:r>
        <w:rPr>
          <w:rFonts w:ascii="Calibri" w:cs="Calibri" w:eastAsia="Calibri" w:hAnsi="Calibri"/>
          <w:color w:val="222222"/>
          <w:sz w:val="21"/>
          <w:szCs w:val="21"/>
        </w:rPr>
        <w:t xml:space="preserve">Buyer and Supplier may each be referred to individually as a "Party" and collectively as the "Parties."</w:t>
      </w:r>
    </w:p>
    <w:p>
      <w:pPr>
        <w:pStyle w:val="Heading1"/>
        <w:pBdr>
          <w:bottom w:val="single" w:color="D9D9D9" w:sz="6" w:space="4"/>
        </w:pBdr>
        <w:spacing w:after="150" w:before="300"/>
      </w:pPr>
      <w:r>
        <w:rPr>
          <w:rFonts w:ascii="Calibri" w:cs="Calibri" w:eastAsia="Calibri" w:hAnsi="Calibri"/>
          <w:b/>
          <w:bCs/>
          <w:color w:val="1F3864"/>
          <w:sz w:val="28"/>
          <w:szCs w:val="28"/>
        </w:rPr>
        <w:t xml:space="preserve">3. Scope of Supply</w:t>
      </w:r>
    </w:p>
    <w:p>
      <w:pPr>
        <w:spacing w:after="140" w:line="276"/>
        <w:jc w:val="both"/>
      </w:pPr>
      <w:r>
        <w:rPr>
          <w:rFonts w:ascii="Calibri" w:cs="Calibri" w:eastAsia="Calibri" w:hAnsi="Calibri"/>
          <w:color w:val="222222"/>
          <w:sz w:val="21"/>
          <w:szCs w:val="21"/>
        </w:rPr>
        <w:t xml:space="preserve">Supplier shall design, manufacture, test, and supply to Buyer the electronic products identified in Section 4 (the "Products"), in the quantities and at the times specified in individual Purchase Orders issued by Buyer under this Agreement. This Agreement establishes the general commercial and legal framework governing all such Purchase Orders; in the event of a conflict between this Agreement and a specific Purchase Order, this Agreement shall govern unless the Purchase Order expressly states an intent to deviate and is countersigned by both Parties.</w:t>
      </w:r>
    </w:p>
    <w:p>
      <w:pPr>
        <w:pStyle w:val="Heading1"/>
        <w:pBdr>
          <w:bottom w:val="single" w:color="D9D9D9" w:sz="6" w:space="4"/>
        </w:pBdr>
        <w:spacing w:after="150" w:before="300"/>
      </w:pPr>
      <w:r>
        <w:rPr>
          <w:rFonts w:ascii="Calibri" w:cs="Calibri" w:eastAsia="Calibri" w:hAnsi="Calibri"/>
          <w:b/>
          <w:bCs/>
          <w:color w:val="1F3864"/>
          <w:sz w:val="28"/>
          <w:szCs w:val="28"/>
        </w:rPr>
        <w:t xml:space="preserve">4. Products and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Part Number</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Specification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PLC-2200</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Programmable Logic Controller, 24V DC, 16-input/12-output</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IP20 enclosure; operating range -20°C to 60°C</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ISM-500</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Industrial Sensor Module, inductive proximity, 10–30V DC</w:t>
            </w:r>
          </w:p>
        </w:tc>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Sensing range 0–8mm; IP67 rated</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PCBA-750</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Printed Circuit Board Assembly, 4-layer, lead-free</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IPC-A-610 Class 2 acceptance criteria</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SSR-30A</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Solid State Relay, 30A, zero-cross switching</w:t>
            </w:r>
          </w:p>
        </w:tc>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Dielectric strength 4000V AC min.</w:t>
            </w:r>
          </w:p>
        </w:tc>
      </w:tr>
    </w:tbl>
    <w:p>
      <w:pPr>
        <w:spacing w:after="140" w:line="276"/>
        <w:jc w:val="both"/>
      </w:pPr>
      <w:r>
        <w:rPr>
          <w:rFonts w:ascii="Calibri" w:cs="Calibri" w:eastAsia="Calibri" w:hAnsi="Calibri"/>
          <w:color w:val="222222"/>
          <w:sz w:val="21"/>
          <w:szCs w:val="21"/>
        </w:rPr>
        <w:t xml:space="preserve">All Products shall conform to the specifications, drawings, and bills of materials referenced in the applicable Purchase Order and to Buyer's Engineering Specification Documents as revised from time to time and communicated in writing to Supplier no less than 30 days prior to a specification change taking effect on open orders.</w:t>
      </w:r>
    </w:p>
    <w:p>
      <w:pPr>
        <w:pStyle w:val="Heading1"/>
        <w:pBdr>
          <w:bottom w:val="single" w:color="D9D9D9" w:sz="6" w:space="4"/>
        </w:pBdr>
        <w:spacing w:after="150" w:before="300"/>
      </w:pPr>
      <w:r>
        <w:rPr>
          <w:rFonts w:ascii="Calibri" w:cs="Calibri" w:eastAsia="Calibri" w:hAnsi="Calibri"/>
          <w:b/>
          <w:bCs/>
          <w:color w:val="1F3864"/>
          <w:sz w:val="28"/>
          <w:szCs w:val="28"/>
        </w:rPr>
        <w:t xml:space="preserve">5. Pricing</w:t>
      </w:r>
    </w:p>
    <w:p>
      <w:pPr>
        <w:spacing w:after="140" w:line="276"/>
        <w:jc w:val="both"/>
      </w:pPr>
      <w:r>
        <w:rPr>
          <w:rFonts w:ascii="Calibri" w:cs="Calibri" w:eastAsia="Calibri" w:hAnsi="Calibri"/>
          <w:color w:val="222222"/>
          <w:sz w:val="21"/>
          <w:szCs w:val="21"/>
        </w:rPr>
        <w:t xml:space="preserve">Unit pricing is fixed for the Initial Term as set forth below, subject to the price adjustment mechanism in Section 5.1. All prices are stated in United States Dollars (USD) and exclude applicable sales, use, or excise taxes, which shall be stated separately on Supplier's invoices.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Part Number</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 Price (USD)</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Minimum Order Qty</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Volume Discount</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PLC-2200</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$184.50</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25 units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 at 100+ units</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ISM-500</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$27.15</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100 units</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7% at 500+ units</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PCBA-750</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$96.80</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50 units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 at 250+ units</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SSR-30A</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$41.25</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100 units</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 at 300+ units</w:t>
            </w:r>
          </w:p>
        </w:tc>
      </w:tr>
    </w:tbl>
    <w:p>
      <w:pPr>
        <w:pStyle w:val="Heading2"/>
        <w:spacing w:after="120" w:before="240"/>
      </w:pPr>
      <w:r>
        <w:rPr>
          <w:rFonts w:ascii="Calibri" w:cs="Calibri" w:eastAsia="Calibri" w:hAnsi="Calibri"/>
          <w:b/>
          <w:bCs/>
          <w:color w:val="44546A"/>
          <w:sz w:val="24"/>
          <w:szCs w:val="24"/>
        </w:rPr>
        <w:t xml:space="preserve">5.1 Price Adjustment Mechanism</w:t>
      </w:r>
    </w:p>
    <w:p>
      <w:pPr>
        <w:spacing w:after="140" w:line="276"/>
        <w:jc w:val="both"/>
      </w:pPr>
      <w:r>
        <w:rPr>
          <w:rFonts w:ascii="Calibri" w:cs="Calibri" w:eastAsia="Calibri" w:hAnsi="Calibri"/>
          <w:color w:val="222222"/>
          <w:sz w:val="21"/>
          <w:szCs w:val="21"/>
        </w:rPr>
        <w:t xml:space="preserve">Unit pricing may be adjusted no more than once per 12-month period, and only upon 60 days' written notice from Supplier, to reflect documented increases in raw material (copper, gold-plating, or semiconductor) costs exceeding 5% as evidenced by a recognized commodity index. Any such adjustment is subject to Buyer's review and written approval, which shall not be unreasonably withheld.</w:t>
      </w:r>
    </w:p>
    <w:p>
      <w:pPr>
        <w:pStyle w:val="Heading1"/>
        <w:pBdr>
          <w:bottom w:val="single" w:color="D9D9D9" w:sz="6" w:space="4"/>
        </w:pBdr>
        <w:spacing w:after="150" w:before="300"/>
      </w:pPr>
      <w:r>
        <w:rPr>
          <w:rFonts w:ascii="Calibri" w:cs="Calibri" w:eastAsia="Calibri" w:hAnsi="Calibri"/>
          <w:b/>
          <w:bCs/>
          <w:color w:val="1F3864"/>
          <w:sz w:val="28"/>
          <w:szCs w:val="28"/>
        </w:rPr>
        <w:t xml:space="preserve">6. Delivery Terms</w:t>
      </w:r>
    </w:p>
    <w:p>
      <w:pPr>
        <w:spacing w:after="140" w:line="276"/>
        <w:jc w:val="both"/>
      </w:pPr>
      <w:r>
        <w:rPr>
          <w:rFonts w:ascii="Calibri" w:cs="Calibri" w:eastAsia="Calibri" w:hAnsi="Calibri"/>
          <w:color w:val="222222"/>
          <w:sz w:val="21"/>
          <w:szCs w:val="21"/>
        </w:rPr>
        <w:t xml:space="preserve">Standard lead time is twenty-one (21) calendar days from Supplier's written order acknowledgment, Ex Works Supplier's San Jose, California facility. Expedited lead time of twelve (12) calendar days is available for up to 20% of any calendar quarter's order volume at a 15% expedite premium, subject to Supplier's written confirmation of capacity.</w:t>
      </w:r>
    </w:p>
    <w:p>
      <w:pPr>
        <w:pStyle w:val="Heading2"/>
        <w:spacing w:after="120" w:before="240"/>
      </w:pPr>
      <w:r>
        <w:rPr>
          <w:rFonts w:ascii="Calibri" w:cs="Calibri" w:eastAsia="Calibri" w:hAnsi="Calibri"/>
          <w:b/>
          <w:bCs/>
          <w:color w:val="44546A"/>
          <w:sz w:val="24"/>
          <w:szCs w:val="24"/>
        </w:rPr>
        <w:t xml:space="preserve">6.1 Incoterms</w:t>
      </w:r>
    </w:p>
    <w:p>
      <w:pPr>
        <w:spacing w:after="140" w:line="276"/>
        <w:jc w:val="both"/>
      </w:pPr>
      <w:r>
        <w:rPr>
          <w:rFonts w:ascii="Calibri" w:cs="Calibri" w:eastAsia="Calibri" w:hAnsi="Calibri"/>
          <w:color w:val="222222"/>
          <w:sz w:val="21"/>
          <w:szCs w:val="21"/>
        </w:rPr>
        <w:t xml:space="preserve">Delivery shall be governed by FCA (Free Carrier) San Jose, California, Incoterms® 2020, unless a specific Purchase Order specifies otherwise. Risk of loss transfers to Buyer upon Supplier's delivery of Products to the carrier nominated by Buyer at Supplier's facility.</w:t>
      </w:r>
    </w:p>
    <w:p>
      <w:pPr>
        <w:pStyle w:val="Heading1"/>
        <w:pBdr>
          <w:bottom w:val="single" w:color="D9D9D9" w:sz="6" w:space="4"/>
        </w:pBdr>
        <w:spacing w:after="150" w:before="300"/>
      </w:pPr>
      <w:r>
        <w:rPr>
          <w:rFonts w:ascii="Calibri" w:cs="Calibri" w:eastAsia="Calibri" w:hAnsi="Calibri"/>
          <w:b/>
          <w:bCs/>
          <w:color w:val="1F3864"/>
          <w:sz w:val="28"/>
          <w:szCs w:val="28"/>
        </w:rPr>
        <w:t xml:space="preserve">7. Payment Terms</w:t>
      </w:r>
    </w:p>
    <w:p>
      <w:pPr>
        <w:spacing w:after="140" w:line="276"/>
        <w:jc w:val="both"/>
      </w:pPr>
      <w:r>
        <w:rPr>
          <w:rFonts w:ascii="Calibri" w:cs="Calibri" w:eastAsia="Calibri" w:hAnsi="Calibri"/>
          <w:color w:val="222222"/>
          <w:sz w:val="21"/>
          <w:szCs w:val="21"/>
        </w:rPr>
        <w:t xml:space="preserve">Payment terms are Net 30 days from the date of Supplier's invoice, provided the invoice matches the Purchase Order and the Goods Receipt Note within Buyer's standard 2% tolerance. Supplier offers an early payment discount of 2% if payment is remitted within 10 days of the invoice date (2%/10 Net 30). Invoices shall be submitted electronically to accountspayable@novamanufacturing-example.com and shall reference the applicable Purchase Order number.</w:t>
      </w:r>
    </w:p>
    <w:p>
      <w:pPr>
        <w:pStyle w:val="Heading1"/>
        <w:pBdr>
          <w:bottom w:val="single" w:color="D9D9D9" w:sz="6" w:space="4"/>
        </w:pBdr>
        <w:spacing w:after="150" w:before="300"/>
      </w:pPr>
      <w:r>
        <w:rPr>
          <w:rFonts w:ascii="Calibri" w:cs="Calibri" w:eastAsia="Calibri" w:hAnsi="Calibri"/>
          <w:b/>
          <w:bCs/>
          <w:color w:val="1F3864"/>
          <w:sz w:val="28"/>
          <w:szCs w:val="28"/>
        </w:rPr>
        <w:t xml:space="preserve">8. Quality Standards</w:t>
      </w:r>
    </w:p>
    <w:p>
      <w:pPr>
        <w:spacing w:after="140" w:line="276"/>
        <w:jc w:val="both"/>
      </w:pPr>
      <w:r>
        <w:rPr>
          <w:rFonts w:ascii="Calibri" w:cs="Calibri" w:eastAsia="Calibri" w:hAnsi="Calibri"/>
          <w:color w:val="222222"/>
          <w:sz w:val="21"/>
          <w:szCs w:val="21"/>
        </w:rPr>
        <w:t xml:space="preserve">Supplier shall maintain, throughout the Term, certification to ISO 9001:2015 and shall manufacture all printed circuit board assemblies in conformance with IPC-A-610, Class 2 acceptance criteria (or Class 3 where specifically called out on Buyer's drawing). Supplier shall maintain a documented quality management system and shall permit Buyer's Quality Assurance personnel to conduct on-site audits upon 10 business days' advance notice, not more than twice per calendar year absent a quality event.</w:t>
      </w:r>
    </w:p>
    <w:p>
      <w:pPr>
        <w:pStyle w:val="Heading1"/>
        <w:pBdr>
          <w:bottom w:val="single" w:color="D9D9D9" w:sz="6" w:space="4"/>
        </w:pBdr>
        <w:spacing w:after="150" w:before="300"/>
      </w:pPr>
      <w:r>
        <w:rPr>
          <w:rFonts w:ascii="Calibri" w:cs="Calibri" w:eastAsia="Calibri" w:hAnsi="Calibri"/>
          <w:b/>
          <w:bCs/>
          <w:color w:val="1F3864"/>
          <w:sz w:val="28"/>
          <w:szCs w:val="28"/>
        </w:rPr>
        <w:t xml:space="preserve">9. Inspection</w:t>
      </w:r>
    </w:p>
    <w:p>
      <w:pPr>
        <w:spacing w:after="140" w:line="276"/>
        <w:jc w:val="both"/>
      </w:pPr>
      <w:r>
        <w:rPr>
          <w:rFonts w:ascii="Calibri" w:cs="Calibri" w:eastAsia="Calibri" w:hAnsi="Calibri"/>
          <w:color w:val="222222"/>
          <w:sz w:val="21"/>
          <w:szCs w:val="21"/>
        </w:rPr>
        <w:t xml:space="preserve">Buyer shall perform incoming inspection on all shipments in accordance with ANSI/ASQ Z1.4 General Inspection Level II, Acceptable Quality Level (AQL) 1.0 for major defects and AQL 2.5 for minor defects. Buyer shall notify Supplier of any nonconformance within five (5) business days of receipt. Buyer reserves the right to reject and return, at Supplier's expense, any lot exceeding the applicable AQL, and Supplier shall replace rejected units within ten (10) calendar days of notification at no additional cost to Buyer.</w:t>
      </w:r>
    </w:p>
    <w:p>
      <w:pPr>
        <w:pStyle w:val="Heading1"/>
        <w:pBdr>
          <w:bottom w:val="single" w:color="D9D9D9" w:sz="6" w:space="4"/>
        </w:pBdr>
        <w:spacing w:after="150" w:before="300"/>
      </w:pPr>
      <w:r>
        <w:rPr>
          <w:rFonts w:ascii="Calibri" w:cs="Calibri" w:eastAsia="Calibri" w:hAnsi="Calibri"/>
          <w:b/>
          <w:bCs/>
          <w:color w:val="1F3864"/>
          <w:sz w:val="28"/>
          <w:szCs w:val="28"/>
        </w:rPr>
        <w:t xml:space="preserve">10. Warranty</w:t>
      </w:r>
    </w:p>
    <w:p>
      <w:pPr>
        <w:spacing w:after="140" w:line="276"/>
        <w:jc w:val="both"/>
      </w:pPr>
      <w:r>
        <w:rPr>
          <w:rFonts w:ascii="Calibri" w:cs="Calibri" w:eastAsia="Calibri" w:hAnsi="Calibri"/>
          <w:color w:val="222222"/>
          <w:sz w:val="21"/>
          <w:szCs w:val="21"/>
        </w:rPr>
        <w:t xml:space="preserve">Supplier warrants that all Products shall be free from defects in material and workmanship, and shall conform to the applicable specifications, for a period of twenty-four (24) months from the date of delivery (the "Warranty Period"). If any Product fails to conform during the Warranty Period, Supplier shall, at Buyer's option, repair, replace, or issue a full credit for the nonconforming Product, including reasonable freight costs incurred by Buyer in returning the Product. This warranty is in addition to, and not in lieu of, any implied warranties of merchantability and fitness for a particular purpose, which are not disclaimed under this Agreement.</w:t>
      </w:r>
    </w:p>
    <w:p>
      <w:pPr>
        <w:pStyle w:val="Heading1"/>
        <w:pBdr>
          <w:bottom w:val="single" w:color="D9D9D9" w:sz="6" w:space="4"/>
        </w:pBdr>
        <w:spacing w:after="150" w:before="300"/>
      </w:pPr>
      <w:r>
        <w:rPr>
          <w:rFonts w:ascii="Calibri" w:cs="Calibri" w:eastAsia="Calibri" w:hAnsi="Calibri"/>
          <w:b/>
          <w:bCs/>
          <w:color w:val="1F3864"/>
          <w:sz w:val="28"/>
          <w:szCs w:val="28"/>
        </w:rPr>
        <w:t xml:space="preserve">11. Late Delivery Penalty</w:t>
      </w:r>
    </w:p>
    <w:p>
      <w:pPr>
        <w:spacing w:after="140" w:line="276"/>
        <w:jc w:val="both"/>
      </w:pPr>
      <w:r>
        <w:rPr>
          <w:rFonts w:ascii="Calibri" w:cs="Calibri" w:eastAsia="Calibri" w:hAnsi="Calibri"/>
          <w:color w:val="222222"/>
          <w:sz w:val="21"/>
          <w:szCs w:val="21"/>
        </w:rPr>
        <w:t xml:space="preserve">If Supplier fails to deliver Products within the agreed delivery window (lead time plus a grace period of 2 calendar days), Supplier shall credit Buyer liquidated damages equal to 0.5% of the affected Purchase Order line value per calendar day of delay, up to a maximum of 10% of the affected line value. Liquidated damages under this Section are Buyer's sole and exclusive financial remedy for late delivery, except where late delivery results from Supplier's gross negligence or willful misconduct, or where late delivery persists beyond 20 calendar days, in which case Buyer may additionally cancel the affected Purchase Order without penalty and procure replacement Products from an alternate source.</w:t>
      </w:r>
    </w:p>
    <w:p>
      <w:pPr>
        <w:pStyle w:val="Heading1"/>
        <w:pBdr>
          <w:bottom w:val="single" w:color="D9D9D9" w:sz="6" w:space="4"/>
        </w:pBdr>
        <w:spacing w:after="150" w:before="300"/>
      </w:pPr>
      <w:r>
        <w:rPr>
          <w:rFonts w:ascii="Calibri" w:cs="Calibri" w:eastAsia="Calibri" w:hAnsi="Calibri"/>
          <w:b/>
          <w:bCs/>
          <w:color w:val="1F3864"/>
          <w:sz w:val="28"/>
          <w:szCs w:val="28"/>
        </w:rPr>
        <w:t xml:space="preserve">12. Termination</w:t>
      </w:r>
    </w:p>
    <w:p>
      <w:pPr>
        <w:spacing w:after="140" w:line="276"/>
        <w:jc w:val="both"/>
      </w:pPr>
      <w:r>
        <w:rPr>
          <w:rFonts w:ascii="Calibri" w:cs="Calibri" w:eastAsia="Calibri" w:hAnsi="Calibri"/>
          <w:color w:val="222222"/>
          <w:sz w:val="21"/>
          <w:szCs w:val="21"/>
        </w:rPr>
        <w:t xml:space="preserve">Either Party may terminate this Agreement for convenience upon sixty (60) calendar days' prior written notice. Either Party may terminate this Agreement for cause immediately upon written notice if the other Party materially breaches this Agreement and fails to cure such breach within fifteen (15) calendar days of receiving written notice describing the breach in reasonable detail. Buyer may additionally terminate immediately, without a cure period, if Supplier becomes insolvent, files for bankruptcy protection, or undergoes a change of control that Buyer reasonably determines poses a material risk to supply continuity. Upon termination, Supplier shall complete or, at Buyer's election, cancel all open Purchase Orders, and Buyer shall pay for conforming Products already manufactured or in transit as of the termination date.</w:t>
      </w:r>
    </w:p>
    <w:p>
      <w:pPr>
        <w:pStyle w:val="Heading1"/>
        <w:pBdr>
          <w:bottom w:val="single" w:color="D9D9D9" w:sz="6" w:space="4"/>
        </w:pBdr>
        <w:spacing w:after="150" w:before="300"/>
      </w:pPr>
      <w:r>
        <w:rPr>
          <w:rFonts w:ascii="Calibri" w:cs="Calibri" w:eastAsia="Calibri" w:hAnsi="Calibri"/>
          <w:b/>
          <w:bCs/>
          <w:color w:val="1F3864"/>
          <w:sz w:val="28"/>
          <w:szCs w:val="28"/>
        </w:rPr>
        <w:t xml:space="preserve">13. Force Majeure</w:t>
      </w:r>
    </w:p>
    <w:p>
      <w:pPr>
        <w:spacing w:after="140" w:line="276"/>
        <w:jc w:val="both"/>
      </w:pPr>
      <w:r>
        <w:rPr>
          <w:rFonts w:ascii="Calibri" w:cs="Calibri" w:eastAsia="Calibri" w:hAnsi="Calibri"/>
          <w:color w:val="222222"/>
          <w:sz w:val="21"/>
          <w:szCs w:val="21"/>
        </w:rPr>
        <w:t xml:space="preserve">Neither Party shall be liable for any failure or delay in performance (other than payment obligations) resulting from causes beyond its reasonable control, including but not limited to acts of God, fire, flood, war, terrorism, governmental action, labor disputes, or shortages of transportation, provided that the affected Party promptly notifies the other Party in writing and uses commercially reasonable efforts to mitigate the impact. If a force majeure event continues for more than 45 consecutive calendar days, either Party may terminate the affected Purchase Order(s) without liability.</w:t>
      </w:r>
    </w:p>
    <w:p>
      <w:pPr>
        <w:pStyle w:val="Heading1"/>
        <w:pBdr>
          <w:bottom w:val="single" w:color="D9D9D9" w:sz="6" w:space="4"/>
        </w:pBdr>
        <w:spacing w:after="150" w:before="300"/>
      </w:pPr>
      <w:r>
        <w:rPr>
          <w:rFonts w:ascii="Calibri" w:cs="Calibri" w:eastAsia="Calibri" w:hAnsi="Calibri"/>
          <w:b/>
          <w:bCs/>
          <w:color w:val="1F3864"/>
          <w:sz w:val="28"/>
          <w:szCs w:val="28"/>
        </w:rPr>
        <w:t xml:space="preserve">14. Confidentiality</w:t>
      </w:r>
    </w:p>
    <w:p>
      <w:pPr>
        <w:spacing w:after="140" w:line="276"/>
        <w:jc w:val="both"/>
      </w:pPr>
      <w:r>
        <w:rPr>
          <w:rFonts w:ascii="Calibri" w:cs="Calibri" w:eastAsia="Calibri" w:hAnsi="Calibri"/>
          <w:color w:val="222222"/>
          <w:sz w:val="21"/>
          <w:szCs w:val="21"/>
        </w:rPr>
        <w:t xml:space="preserve">Each Party shall protect the other Party's confidential information, including pricing, technical specifications, forecasts, and business plans, using at least the same degree of care it uses to protect its own confidential information of similar importance, and in no event less than a reasonable standard of care. Confidentiality obligations under this Section shall survive termination or expiration of this Agreement for a period of five (5) years, except that confidential information constituting a trade secret under applicable law shall be protected for so long as it retains trade secret status.</w:t>
      </w:r>
    </w:p>
    <w:p>
      <w:pPr>
        <w:pStyle w:val="Heading1"/>
        <w:pBdr>
          <w:bottom w:val="single" w:color="D9D9D9" w:sz="6" w:space="4"/>
        </w:pBdr>
        <w:spacing w:after="150" w:before="300"/>
      </w:pPr>
      <w:r>
        <w:rPr>
          <w:rFonts w:ascii="Calibri" w:cs="Calibri" w:eastAsia="Calibri" w:hAnsi="Calibri"/>
          <w:b/>
          <w:bCs/>
          <w:color w:val="1F3864"/>
          <w:sz w:val="28"/>
          <w:szCs w:val="28"/>
        </w:rPr>
        <w:t xml:space="preserve">15. Dispute Resolution</w:t>
      </w:r>
    </w:p>
    <w:p>
      <w:pPr>
        <w:spacing w:after="140" w:line="276"/>
        <w:jc w:val="both"/>
      </w:pPr>
      <w:r>
        <w:rPr>
          <w:rFonts w:ascii="Calibri" w:cs="Calibri" w:eastAsia="Calibri" w:hAnsi="Calibri"/>
          <w:color w:val="222222"/>
          <w:sz w:val="21"/>
          <w:szCs w:val="21"/>
        </w:rPr>
        <w:t xml:space="preserve">The Parties shall attempt in good faith to resolve any dispute arising out of or relating to this Agreement through direct negotiation between designated representatives within 15 business days of written notice of the dispute. If the dispute is not resolved through negotiation, it shall be finally settled by binding arbitration administered by the American Arbitration Association under its Commercial Arbitration Rules, with the arbitration seated in Santa Clara County, California, before a single arbitrator. This Agreement shall be governed by the laws of the State of California, without regard to its conflict of laws principles.</w:t>
      </w:r>
    </w:p>
    <w:p>
      <w:pPr>
        <w:pStyle w:val="Heading1"/>
        <w:pBdr>
          <w:bottom w:val="single" w:color="D9D9D9" w:sz="6" w:space="4"/>
        </w:pBdr>
        <w:spacing w:after="150" w:before="300"/>
      </w:pPr>
      <w:r>
        <w:rPr>
          <w:rFonts w:ascii="Calibri" w:cs="Calibri" w:eastAsia="Calibri" w:hAnsi="Calibri"/>
          <w:b/>
          <w:bCs/>
          <w:color w:val="1F3864"/>
          <w:sz w:val="28"/>
          <w:szCs w:val="28"/>
        </w:rPr>
        <w:t xml:space="preserve">16. Signatures</w:t>
      </w:r>
    </w:p>
    <w:p>
      <w:pPr>
        <w:spacing w:after="100"/>
      </w:pPr>
      <w:r>
        <w:rPr>
          <w:rFonts w:ascii="Calibri" w:cs="Calibri" w:eastAsia="Calibri" w:hAnsi="Calibri"/>
          <w:i/>
          <w:iCs/>
          <w:sz w:val="21"/>
          <w:szCs w:val="21"/>
        </w:rPr>
        <w:t xml:space="preserve">IN WITNESS WHEREOF, the Parties have executed this Agreement as of the Effective Date.</w:t>
      </w:r>
    </w:p>
    <w:p>
      <w:pPr>
        <w:spacing w:after="60" w:before="300"/>
      </w:pPr>
      <w:r>
        <w:rPr>
          <w:rFonts w:ascii="Calibri" w:cs="Calibri" w:eastAsia="Calibri" w:hAnsi="Calibri"/>
          <w:b/>
          <w:bCs/>
          <w:color w:val="1F3864"/>
          <w:sz w:val="21"/>
          <w:szCs w:val="21"/>
        </w:rPr>
        <w:t xml:space="preserve">BUYER</w:t>
      </w:r>
    </w:p>
    <w:p>
      <w:pPr>
        <w:spacing w:after="40"/>
      </w:pPr>
      <w:r>
        <w:rPr>
          <w:rFonts w:ascii="Calibri" w:cs="Calibri" w:eastAsia="Calibri" w:hAnsi="Calibri"/>
          <w:sz w:val="21"/>
          <w:szCs w:val="21"/>
        </w:rPr>
        <w:t xml:space="preserve">Nova Manufacturing Ltd.</w:t>
      </w:r>
    </w:p>
    <w:p>
      <w:pPr>
        <w:spacing w:after="40"/>
      </w:pPr>
      <w:r>
        <w:rPr>
          <w:rFonts w:ascii="Calibri" w:cs="Calibri" w:eastAsia="Calibri" w:hAnsi="Calibri"/>
          <w:color w:val="44546A"/>
          <w:sz w:val="20"/>
          <w:szCs w:val="20"/>
        </w:rPr>
        <w:t xml:space="preserve">1200 Foundry Road, Akron, Ohio 44301</w:t>
      </w:r>
    </w:p>
    <w:p>
      <w:pPr>
        <w:spacing w:after="40" w:before="300"/>
      </w:pPr>
      <w:r>
        <w:rPr>
          <w:rFonts w:ascii="Calibri" w:cs="Calibri" w:eastAsia="Calibri" w:hAnsi="Calibri"/>
          <w:sz w:val="20"/>
          <w:szCs w:val="20"/>
        </w:rPr>
        <w:t xml:space="preserve">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p>
      <w:pPr>
        <w:spacing w:after="60" w:before="300"/>
      </w:pPr>
      <w:r>
        <w:rPr>
          <w:rFonts w:ascii="Calibri" w:cs="Calibri" w:eastAsia="Calibri" w:hAnsi="Calibri"/>
          <w:b/>
          <w:bCs/>
          <w:color w:val="1F3864"/>
          <w:sz w:val="21"/>
          <w:szCs w:val="21"/>
        </w:rPr>
        <w:t xml:space="preserve">SUPPLIER</w:t>
      </w:r>
    </w:p>
    <w:p>
      <w:pPr>
        <w:spacing w:after="40"/>
      </w:pPr>
      <w:r>
        <w:rPr>
          <w:rFonts w:ascii="Calibri" w:cs="Calibri" w:eastAsia="Calibri" w:hAnsi="Calibri"/>
          <w:sz w:val="21"/>
          <w:szCs w:val="21"/>
        </w:rPr>
        <w:t xml:space="preserve">Alpha_Inc</w:t>
      </w:r>
    </w:p>
    <w:p>
      <w:pPr>
        <w:spacing w:after="40"/>
      </w:pPr>
      <w:r>
        <w:rPr>
          <w:rFonts w:ascii="Calibri" w:cs="Calibri" w:eastAsia="Calibri" w:hAnsi="Calibri"/>
          <w:color w:val="44546A"/>
          <w:sz w:val="20"/>
          <w:szCs w:val="20"/>
        </w:rPr>
        <w:t xml:space="preserve">4820 Innovation Parkway, San Jose, California 95134</w:t>
      </w:r>
    </w:p>
    <w:p>
      <w:pPr>
        <w:spacing w:after="40" w:before="300"/>
      </w:pPr>
      <w:r>
        <w:rPr>
          <w:rFonts w:ascii="Calibri" w:cs="Calibri" w:eastAsia="Calibri" w:hAnsi="Calibri"/>
          <w:sz w:val="20"/>
          <w:szCs w:val="20"/>
        </w:rPr>
        <w:t xml:space="preserve">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sectPr>
      <w:headerReference w:type="default" r:id="rId9"/>
      <w:footerReference w:type="default" r:id="rId10"/>
      <w:pgSz w:w="12240" w:h="15840" w:orient="portrait"/>
      <w:pgMar w:top="1080" w:right="1260" w:bottom="1080" w:left="12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NML-SC-ALPHA-2024-001</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NML-SC-ALPHA-2024-001</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Contract — Alpha_Inc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Contract — Alpha_Inc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2026-07-19T17:23:02.923Z</dcterms:created>
  <dcterms:modified xsi:type="dcterms:W3CDTF">2026-07-19T17:23:02.923Z</dcterms:modified>
</cp:coreProperties>
</file>

<file path=docProps/custom.xml><?xml version="1.0" encoding="utf-8"?>
<Properties xmlns="http://schemas.openxmlformats.org/officeDocument/2006/custom-properties" xmlns:vt="http://schemas.openxmlformats.org/officeDocument/2006/docPropsVTypes"/>
</file>