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top w:val="single" w:color="1F3864" w:sz="12" w:space="8"/>
          <w:bottom w:val="single" w:color="1F3864" w:sz="12" w:space="8"/>
          <w:left w:val="single" w:color="1F3864" w:sz="12" w:space="8"/>
          <w:right w:val="single" w:color="1F3864" w:sz="12" w:space="8"/>
        </w:pBdr>
        <w:spacing w:after="200"/>
        <w:jc w:val="center"/>
      </w:pPr>
      <w:r>
        <w:rPr>
          <w:rFonts w:ascii="Calibri" w:cs="Calibri" w:eastAsia="Calibri" w:hAnsi="Calibri"/>
          <w:b/>
          <w:bCs/>
          <w:color w:val="1F3864"/>
          <w:sz w:val="20"/>
          <w:szCs w:val="20"/>
        </w:rPr>
        <w:t xml:space="preserve">[ NOVA MANUFACTURING LTD. — COMPANY LOGO ]</w:t>
      </w:r>
    </w:p>
    <w:p>
      <w:pPr>
        <w:spacing w:after="200" w:before="600"/>
        <w:jc w:val="center"/>
      </w:pPr>
      <w:r>
        <w:rPr>
          <w:rFonts w:ascii="Calibri" w:cs="Calibri" w:eastAsia="Calibri" w:hAnsi="Calibri"/>
          <w:b/>
          <w:bCs/>
          <w:color w:val="1F3864"/>
          <w:sz w:val="40"/>
          <w:szCs w:val="40"/>
        </w:rPr>
        <w:t xml:space="preserve">Nova Manufacturing Ltd.</w:t>
      </w:r>
    </w:p>
    <w:p>
      <w:pPr>
        <w:spacing w:after="100"/>
        <w:jc w:val="center"/>
      </w:pPr>
      <w:r>
        <w:rPr>
          <w:rFonts w:ascii="Calibri" w:cs="Calibri" w:eastAsia="Calibri" w:hAnsi="Calibri"/>
          <w:b/>
          <w:bCs/>
          <w:color w:val="44546A"/>
          <w:sz w:val="32"/>
          <w:szCs w:val="32"/>
        </w:rPr>
        <w:t xml:space="preserve">Supplier Contract — Beta_Supplies</w:t>
      </w:r>
    </w:p>
    <w:p>
      <w:pPr>
        <w:spacing w:after="600"/>
        <w:jc w:val="center"/>
      </w:pPr>
      <w:r>
        <w:rPr>
          <w:rFonts w:ascii="Calibri" w:cs="Calibri" w:eastAsia="Calibri" w:hAnsi="Calibri"/>
          <w:i/>
          <w:iCs/>
          <w:color w:val="44546A"/>
          <w:sz w:val="24"/>
          <w:szCs w:val="24"/>
        </w:rPr>
        <w:t xml:space="preserve">Master Supply Agreement for Office Supplies and Consumables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ID:</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NML-SC-BETA-2026-002</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Version: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1.0</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Issue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Revision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Owner:</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Procurement Manager — Indirect Category (Office Supplies)</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Classification: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Confidential — Contains Commercial Terms</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Supplier Name: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Beta_Supplies</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Contract Status:</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Active</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Expiration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December 31, 2028</w:t>
            </w:r>
          </w:p>
        </w:tc>
      </w:tr>
    </w:tbl>
    <w:p>
      <w:r>
        <w:br w:type="page"/>
      </w:r>
    </w:p>
    <w:p>
      <w:pPr>
        <w:sectPr>
          <w:headerReference w:type="default" r:id="rId7"/>
          <w:footerReference w:type="default" r:id="rId8"/>
          <w:pgSz w:w="12240" w:h="15840" w:orient="portrait"/>
          <w:pgMar w:top="1080" w:right="1260" w:bottom="1080" w:left="1260" w:header="708" w:footer="708" w:gutter="0"/>
          <w:pgNumType/>
          <w:titlePg w:val="false"/>
          <w:docGrid w:linePitch="360"/>
        </w:sectPr>
      </w:pPr>
    </w:p>
    <w:p>
      <w:pPr>
        <w:pStyle w:val="Heading1"/>
        <w:pBdr>
          <w:bottom w:val="single" w:color="D9D9D9" w:sz="6" w:space="4"/>
        </w:pBdr>
        <w:spacing w:after="150" w:before="300"/>
      </w:pPr>
      <w:r>
        <w:rPr>
          <w:rFonts w:ascii="Calibri" w:cs="Calibri" w:eastAsia="Calibri" w:hAnsi="Calibri"/>
          <w:b/>
          <w:bCs/>
          <w:color w:val="1F3864"/>
          <w:sz w:val="28"/>
          <w:szCs w:val="28"/>
        </w:rPr>
        <w:t xml:space="preserve">1. Contract Identification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Detail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Contract Number</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NML-SC-BETA-2026-002</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Contract Status</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Active</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Effective Date</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January 1, 2026</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Expiration Date</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December 31, 2028</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Initial Term</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36 months (January 1, 2026 through December 31, 2028)</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Renewal</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Automatic 12-month renewal unless either party provides 45 days' written notice of non-renewal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Category</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Office Supplies — Paper Products, Toner/Ink, Writing Instruments, Filing Supplies</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Version</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2. Parties</w:t>
      </w:r>
    </w:p>
    <w:p>
      <w:pPr>
        <w:spacing w:after="140" w:line="276"/>
        <w:jc w:val="both"/>
      </w:pPr>
      <w:r>
        <w:rPr>
          <w:rFonts w:ascii="Calibri" w:cs="Calibri" w:eastAsia="Calibri" w:hAnsi="Calibri"/>
          <w:color w:val="222222"/>
          <w:sz w:val="21"/>
          <w:szCs w:val="21"/>
        </w:rPr>
        <w:t xml:space="preserve">This Master Supply Agreement ("Agreement") is entered into as of January 1, 2026 (the "Effective Date") by and between:</w:t>
      </w:r>
    </w:p>
    <w:p>
      <w:pPr>
        <w:spacing w:after="140" w:line="276"/>
        <w:jc w:val="both"/>
      </w:pPr>
      <w:r>
        <w:rPr>
          <w:rFonts w:ascii="Calibri" w:cs="Calibri" w:eastAsia="Calibri" w:hAnsi="Calibri"/>
          <w:color w:val="222222"/>
          <w:sz w:val="21"/>
          <w:szCs w:val="21"/>
        </w:rPr>
        <w:t xml:space="preserve">Nova Manufacturing Ltd., a corporation organized under the laws of the State of Delaware, with its principal manufacturing facility at 1200 Foundry Road, Akron, Ohio 44301 ("Buyer" or "Nova Manufacturing"); and</w:t>
      </w:r>
    </w:p>
    <w:p>
      <w:pPr>
        <w:spacing w:after="140" w:line="276"/>
        <w:jc w:val="both"/>
      </w:pPr>
      <w:r>
        <w:rPr>
          <w:rFonts w:ascii="Calibri" w:cs="Calibri" w:eastAsia="Calibri" w:hAnsi="Calibri"/>
          <w:color w:val="222222"/>
          <w:sz w:val="21"/>
          <w:szCs w:val="21"/>
        </w:rPr>
        <w:t xml:space="preserve">Beta_Supplies, a corporation organized under the laws of the State of Ohio, with its principal place of business at 3300 Commerce Drive, Columbus, Ohio 43215 ("Supplier" or "Beta_Supplies").</w:t>
      </w:r>
    </w:p>
    <w:p>
      <w:pPr>
        <w:spacing w:after="140" w:line="276"/>
        <w:jc w:val="both"/>
      </w:pPr>
      <w:r>
        <w:rPr>
          <w:rFonts w:ascii="Calibri" w:cs="Calibri" w:eastAsia="Calibri" w:hAnsi="Calibri"/>
          <w:color w:val="222222"/>
          <w:sz w:val="21"/>
          <w:szCs w:val="21"/>
        </w:rPr>
        <w:t xml:space="preserve">Buyer and Supplier may each be referred to individually as a "Party" and collectively as the "Parties." This Agreement is Active as of the Effective Date and shall remain in full force and effect through the Expiration Date stated above, unless earlier terminated in accordance with Section 12.</w:t>
      </w:r>
    </w:p>
    <w:p>
      <w:pPr>
        <w:pStyle w:val="Heading1"/>
        <w:pBdr>
          <w:bottom w:val="single" w:color="D9D9D9" w:sz="6" w:space="4"/>
        </w:pBdr>
        <w:spacing w:after="150" w:before="300"/>
      </w:pPr>
      <w:r>
        <w:rPr>
          <w:rFonts w:ascii="Calibri" w:cs="Calibri" w:eastAsia="Calibri" w:hAnsi="Calibri"/>
          <w:b/>
          <w:bCs/>
          <w:color w:val="1F3864"/>
          <w:sz w:val="28"/>
          <w:szCs w:val="28"/>
        </w:rPr>
        <w:t xml:space="preserve">3. Scope of Supply</w:t>
      </w:r>
    </w:p>
    <w:p>
      <w:pPr>
        <w:spacing w:after="140" w:line="276"/>
        <w:jc w:val="both"/>
      </w:pPr>
      <w:r>
        <w:rPr>
          <w:rFonts w:ascii="Calibri" w:cs="Calibri" w:eastAsia="Calibri" w:hAnsi="Calibri"/>
          <w:color w:val="222222"/>
          <w:sz w:val="21"/>
          <w:szCs w:val="21"/>
        </w:rPr>
        <w:t xml:space="preserve">Supplier shall supply to Buyer the office supply products and consumables identified in Section 4 (the "Products") for use across Buyer's corporate offices and administrative functions at its Akron, Ohio headquarters and affiliated sites, in the quantities and at the times specified in individual Purchase Orders and standing monthly replenishment schedules issued by Buyer under this Agreement. This Agreement establishes the general commercial and legal framework governing all such Purchase Orders; in the event of a conflict between this Agreement and a specific Purchase Order, this Agreement shall govern unless the Purchase Order expressly states an intent to deviate and is countersigned by both Parties.</w:t>
      </w:r>
    </w:p>
    <w:p>
      <w:pPr>
        <w:pStyle w:val="Heading1"/>
        <w:pBdr>
          <w:bottom w:val="single" w:color="D9D9D9" w:sz="6" w:space="4"/>
        </w:pBdr>
        <w:spacing w:after="150" w:before="300"/>
      </w:pPr>
      <w:r>
        <w:rPr>
          <w:rFonts w:ascii="Calibri" w:cs="Calibri" w:eastAsia="Calibri" w:hAnsi="Calibri"/>
          <w:b/>
          <w:bCs/>
          <w:color w:val="1F3864"/>
          <w:sz w:val="28"/>
          <w:szCs w:val="28"/>
        </w:rPr>
        <w:t xml:space="preserve">4. Products and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Item Code</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Specification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OS-PPR-500</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Multipurpose Copy Paper, 20 lb., 92 bright, letter size, 500-sheet ream</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FSC-certified fiber; 30% post-consumer recycled content</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OS-TNR-410</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Compatible Toner Cartridge, high-yield, black (fits Buyer's standard fleet printers)</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Rated yield ≥ 6,500 pages @ 5% coverage</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OS-PEN-120</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Retractable Ballpoint Pens, medium point, black ink, box of 12</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ISO 12757-2 ink specification</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OS-FIL-300</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Letter-Size Hanging File Folders, 1/5-cut, box of 25</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11-point manila stock, recycled</w:t>
            </w:r>
          </w:p>
        </w:tc>
      </w:tr>
    </w:tbl>
    <w:p>
      <w:pPr>
        <w:spacing w:after="140" w:line="276"/>
        <w:jc w:val="both"/>
      </w:pPr>
      <w:r>
        <w:rPr>
          <w:rFonts w:ascii="Calibri" w:cs="Calibri" w:eastAsia="Calibri" w:hAnsi="Calibri"/>
          <w:color w:val="222222"/>
          <w:sz w:val="21"/>
          <w:szCs w:val="21"/>
        </w:rPr>
        <w:t xml:space="preserve">All Products shall conform to the specifications, brand equivalencies, and packaging standards referenced in the applicable Purchase Order and to Buyer's Indirect Procurement Catalog as revised from time to time and communicated in writing to Supplier no less than 15 days prior to a specification change taking effect on open orders.</w:t>
      </w:r>
    </w:p>
    <w:p>
      <w:pPr>
        <w:pStyle w:val="Heading1"/>
        <w:pBdr>
          <w:bottom w:val="single" w:color="D9D9D9" w:sz="6" w:space="4"/>
        </w:pBdr>
        <w:spacing w:after="150" w:before="300"/>
      </w:pPr>
      <w:r>
        <w:rPr>
          <w:rFonts w:ascii="Calibri" w:cs="Calibri" w:eastAsia="Calibri" w:hAnsi="Calibri"/>
          <w:b/>
          <w:bCs/>
          <w:color w:val="1F3864"/>
          <w:sz w:val="28"/>
          <w:szCs w:val="28"/>
        </w:rPr>
        <w:t xml:space="preserve">5. Pricing</w:t>
      </w:r>
    </w:p>
    <w:p>
      <w:pPr>
        <w:spacing w:after="140" w:line="276"/>
        <w:jc w:val="both"/>
      </w:pPr>
      <w:r>
        <w:rPr>
          <w:rFonts w:ascii="Calibri" w:cs="Calibri" w:eastAsia="Calibri" w:hAnsi="Calibri"/>
          <w:color w:val="222222"/>
          <w:sz w:val="21"/>
          <w:szCs w:val="21"/>
        </w:rPr>
        <w:t xml:space="preserve">Unit pricing is fixed for the Initial Term as set forth below, subject to the price adjustment mechanism in Section 5.1. All prices are stated in United States Dollars (USD) and exclude applicable sales, use, or excise taxes, which shall be stated separately on Supplier's invoices.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Item Code</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 Price (USD)</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Minimum Order Qty</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Volume Discount</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OS-PPR-500</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$4.35 / ream</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20 reams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8% at 200+ reams</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OS-TNR-410</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$62.90 / cartridge</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 cartridges</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 at 50+ cartridges</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OS-PEN-120</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$9.60 / box of 12</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 boxes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 at 100+ boxes</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OS-FIL-300</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$14.20 / box of 25</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8 boxes</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 at 75+ boxes</w:t>
            </w:r>
          </w:p>
        </w:tc>
      </w:tr>
    </w:tbl>
    <w:p>
      <w:pPr>
        <w:pStyle w:val="Heading2"/>
        <w:spacing w:after="120" w:before="240"/>
      </w:pPr>
      <w:r>
        <w:rPr>
          <w:rFonts w:ascii="Calibri" w:cs="Calibri" w:eastAsia="Calibri" w:hAnsi="Calibri"/>
          <w:b/>
          <w:bCs/>
          <w:color w:val="44546A"/>
          <w:sz w:val="24"/>
          <w:szCs w:val="24"/>
        </w:rPr>
        <w:t xml:space="preserve">5.1 Price Adjustment Mechanism</w:t>
      </w:r>
    </w:p>
    <w:p>
      <w:pPr>
        <w:spacing w:after="140" w:line="276"/>
        <w:jc w:val="both"/>
      </w:pPr>
      <w:r>
        <w:rPr>
          <w:rFonts w:ascii="Calibri" w:cs="Calibri" w:eastAsia="Calibri" w:hAnsi="Calibri"/>
          <w:color w:val="222222"/>
          <w:sz w:val="21"/>
          <w:szCs w:val="21"/>
        </w:rPr>
        <w:t xml:space="preserve">Unit pricing may be adjusted no more than once per 12-month period, and only upon 45 days' written notice from Supplier, to reflect documented increases in pulp, paper, or petroleum-based input costs exceeding 6% as evidenced by a recognized commodity index (such as the Producer Price Index for Paper Manufacturing). Any such adjustment is subject to Buyer's review and written approval, which shall not be unreasonably withheld.</w:t>
      </w:r>
    </w:p>
    <w:p>
      <w:pPr>
        <w:pStyle w:val="Heading1"/>
        <w:pBdr>
          <w:bottom w:val="single" w:color="D9D9D9" w:sz="6" w:space="4"/>
        </w:pBdr>
        <w:spacing w:after="150" w:before="300"/>
      </w:pPr>
      <w:r>
        <w:rPr>
          <w:rFonts w:ascii="Calibri" w:cs="Calibri" w:eastAsia="Calibri" w:hAnsi="Calibri"/>
          <w:b/>
          <w:bCs/>
          <w:color w:val="1F3864"/>
          <w:sz w:val="28"/>
          <w:szCs w:val="28"/>
        </w:rPr>
        <w:t xml:space="preserve">6. Delivery Terms</w:t>
      </w:r>
    </w:p>
    <w:p>
      <w:pPr>
        <w:spacing w:after="140" w:line="276"/>
        <w:jc w:val="both"/>
      </w:pPr>
      <w:r>
        <w:rPr>
          <w:rFonts w:ascii="Calibri" w:cs="Calibri" w:eastAsia="Calibri" w:hAnsi="Calibri"/>
          <w:color w:val="222222"/>
          <w:sz w:val="21"/>
          <w:szCs w:val="21"/>
        </w:rPr>
        <w:t xml:space="preserve">Standard delivery time is seven (7) business days from Supplier's written order acknowledgment for standing catalog items, and lead time of fourteen (14) business days for non-catalog or custom-branded items. Supplier shall maintain a minimum of 30 days' safety stock of core catalog items (paper, toner, and filing supplies) at its Columbus, Ohio distribution center to support Buyer's recurring replenishment schedule.</w:t>
      </w:r>
    </w:p>
    <w:p>
      <w:pPr>
        <w:pStyle w:val="Heading2"/>
        <w:spacing w:after="120" w:before="240"/>
      </w:pPr>
      <w:r>
        <w:rPr>
          <w:rFonts w:ascii="Calibri" w:cs="Calibri" w:eastAsia="Calibri" w:hAnsi="Calibri"/>
          <w:b/>
          <w:bCs/>
          <w:color w:val="44546A"/>
          <w:sz w:val="24"/>
          <w:szCs w:val="24"/>
        </w:rPr>
        <w:t xml:space="preserve">6.1 Incoterms</w:t>
      </w:r>
    </w:p>
    <w:p>
      <w:pPr>
        <w:spacing w:after="140" w:line="276"/>
        <w:jc w:val="both"/>
      </w:pPr>
      <w:r>
        <w:rPr>
          <w:rFonts w:ascii="Calibri" w:cs="Calibri" w:eastAsia="Calibri" w:hAnsi="Calibri"/>
          <w:color w:val="222222"/>
          <w:sz w:val="21"/>
          <w:szCs w:val="21"/>
        </w:rPr>
        <w:t xml:space="preserve">Delivery shall be governed by DDP (Delivered Duty Paid) Buyer's Akron, Ohio receiving dock, Incoterms® 2020, unless a specific Purchase Order specifies otherwise. Supplier bears all costs, transportation risk, and responsibility for import/export clearance (if applicable) up to the point of delivery at Buyer's dock, at which point risk of loss transfers to Buyer.</w:t>
      </w:r>
    </w:p>
    <w:p>
      <w:pPr>
        <w:pStyle w:val="Heading1"/>
        <w:pBdr>
          <w:bottom w:val="single" w:color="D9D9D9" w:sz="6" w:space="4"/>
        </w:pBdr>
        <w:spacing w:after="150" w:before="300"/>
      </w:pPr>
      <w:r>
        <w:rPr>
          <w:rFonts w:ascii="Calibri" w:cs="Calibri" w:eastAsia="Calibri" w:hAnsi="Calibri"/>
          <w:b/>
          <w:bCs/>
          <w:color w:val="1F3864"/>
          <w:sz w:val="28"/>
          <w:szCs w:val="28"/>
        </w:rPr>
        <w:t xml:space="preserve">7. Payment Terms</w:t>
      </w:r>
    </w:p>
    <w:p>
      <w:pPr>
        <w:spacing w:after="140" w:line="276"/>
        <w:jc w:val="both"/>
      </w:pPr>
      <w:r>
        <w:rPr>
          <w:rFonts w:ascii="Calibri" w:cs="Calibri" w:eastAsia="Calibri" w:hAnsi="Calibri"/>
          <w:color w:val="222222"/>
          <w:sz w:val="21"/>
          <w:szCs w:val="21"/>
        </w:rPr>
        <w:t xml:space="preserve">Payment terms are Net 45 days from the date of Supplier's invoice, provided the invoice matches the Purchase Order and the Goods Receipt Note within Buyer's standard 2% tolerance. Supplier offers an early payment discount of 1% if payment is remitted within 15 days of the invoice date (1%/15 Net 45). Invoices shall be submitted electronically to accountspayable@novamanufacturing-example.com and shall reference the applicable Purchase Order number and cost center.</w:t>
      </w:r>
    </w:p>
    <w:p>
      <w:pPr>
        <w:pStyle w:val="Heading1"/>
        <w:pBdr>
          <w:bottom w:val="single" w:color="D9D9D9" w:sz="6" w:space="4"/>
        </w:pBdr>
        <w:spacing w:after="150" w:before="300"/>
      </w:pPr>
      <w:r>
        <w:rPr>
          <w:rFonts w:ascii="Calibri" w:cs="Calibri" w:eastAsia="Calibri" w:hAnsi="Calibri"/>
          <w:b/>
          <w:bCs/>
          <w:color w:val="1F3864"/>
          <w:sz w:val="28"/>
          <w:szCs w:val="28"/>
        </w:rPr>
        <w:t xml:space="preserve">8. Quality Standards</w:t>
      </w:r>
    </w:p>
    <w:p>
      <w:pPr>
        <w:spacing w:after="140" w:line="276"/>
        <w:jc w:val="both"/>
      </w:pPr>
      <w:r>
        <w:rPr>
          <w:rFonts w:ascii="Calibri" w:cs="Calibri" w:eastAsia="Calibri" w:hAnsi="Calibri"/>
          <w:color w:val="222222"/>
          <w:sz w:val="21"/>
          <w:szCs w:val="21"/>
        </w:rPr>
        <w:t xml:space="preserve">Supplier shall ensure that all paper-based Products are FSC (Forest Stewardship Council) certified or equivalent, and that toner and ink cartridges meet or exceed OEM-equivalent print yield ratings as stated in Section 4. Supplier shall maintain a documented quality control process for packaging integrity and shall ensure that all Products comply with applicable U.S. Consumer Product Safety Commission requirements. Supplier is not required to hold ISO 9001:2015 certification under this Agreement but shall promptly disclose any change in its manufacturing or private-label sourcing arrangements.</w:t>
      </w:r>
    </w:p>
    <w:p>
      <w:pPr>
        <w:pStyle w:val="Heading1"/>
        <w:pBdr>
          <w:bottom w:val="single" w:color="D9D9D9" w:sz="6" w:space="4"/>
        </w:pBdr>
        <w:spacing w:after="150" w:before="300"/>
      </w:pPr>
      <w:r>
        <w:rPr>
          <w:rFonts w:ascii="Calibri" w:cs="Calibri" w:eastAsia="Calibri" w:hAnsi="Calibri"/>
          <w:b/>
          <w:bCs/>
          <w:color w:val="1F3864"/>
          <w:sz w:val="28"/>
          <w:szCs w:val="28"/>
        </w:rPr>
        <w:t xml:space="preserve">9. Inspection</w:t>
      </w:r>
    </w:p>
    <w:p>
      <w:pPr>
        <w:spacing w:after="140" w:line="276"/>
        <w:jc w:val="both"/>
      </w:pPr>
      <w:r>
        <w:rPr>
          <w:rFonts w:ascii="Calibri" w:cs="Calibri" w:eastAsia="Calibri" w:hAnsi="Calibri"/>
          <w:color w:val="222222"/>
          <w:sz w:val="21"/>
          <w:szCs w:val="21"/>
        </w:rPr>
        <w:t xml:space="preserve">Buyer shall perform incoming inspection on all shipments using a visual and count-based verification method, sampling in accordance with ANSI/ASQ Z1.4 General Inspection Level I, Acceptable Quality Level (AQL) 2.5, appropriate to the lower risk profile of office consumables. Buyer shall notify Supplier of any nonconformance, shortage, or damaged-in-transit condition within seven (7) business days of receipt. Buyer reserves the right to reject and return, at Supplier's expense, any shipment exceeding the applicable AQL, and Supplier shall replace rejected units within five (5) business days of notification at no additional cost to Buyer.</w:t>
      </w:r>
    </w:p>
    <w:p>
      <w:pPr>
        <w:pStyle w:val="Heading1"/>
        <w:pBdr>
          <w:bottom w:val="single" w:color="D9D9D9" w:sz="6" w:space="4"/>
        </w:pBdr>
        <w:spacing w:after="150" w:before="300"/>
      </w:pPr>
      <w:r>
        <w:rPr>
          <w:rFonts w:ascii="Calibri" w:cs="Calibri" w:eastAsia="Calibri" w:hAnsi="Calibri"/>
          <w:b/>
          <w:bCs/>
          <w:color w:val="1F3864"/>
          <w:sz w:val="28"/>
          <w:szCs w:val="28"/>
        </w:rPr>
        <w:t xml:space="preserve">10. Warranty</w:t>
      </w:r>
    </w:p>
    <w:p>
      <w:pPr>
        <w:spacing w:after="140" w:line="276"/>
        <w:jc w:val="both"/>
      </w:pPr>
      <w:r>
        <w:rPr>
          <w:rFonts w:ascii="Calibri" w:cs="Calibri" w:eastAsia="Calibri" w:hAnsi="Calibri"/>
          <w:color w:val="222222"/>
          <w:sz w:val="21"/>
          <w:szCs w:val="21"/>
        </w:rPr>
        <w:t xml:space="preserve">Supplier warrants that all Products shall be free from defects in material and workmanship and shall conform to the applicable specifications for a period of ninety (90) calendar days from the date of delivery (the "Warranty Period"), except for toner and ink cartridges, which carry a print-yield guarantee for the useful life of the cartridge as installed. If any Product fails to conform during the applicable Warranty Period, Supplier shall, at Buyer's option, replace the nonconforming Product or issue a full credit, including reasonable freight costs incurred by Buyer in returning the Product. This warranty is in addition to, and not in lieu of, any implied warranties of merchantability and fitness for a particular purpose, which are not disclaimed under this Agreement.</w:t>
      </w:r>
    </w:p>
    <w:p>
      <w:pPr>
        <w:pStyle w:val="Heading1"/>
        <w:pBdr>
          <w:bottom w:val="single" w:color="D9D9D9" w:sz="6" w:space="4"/>
        </w:pBdr>
        <w:spacing w:after="150" w:before="300"/>
      </w:pPr>
      <w:r>
        <w:rPr>
          <w:rFonts w:ascii="Calibri" w:cs="Calibri" w:eastAsia="Calibri" w:hAnsi="Calibri"/>
          <w:b/>
          <w:bCs/>
          <w:color w:val="1F3864"/>
          <w:sz w:val="28"/>
          <w:szCs w:val="28"/>
        </w:rPr>
        <w:t xml:space="preserve">11. Late Delivery Penalty</w:t>
      </w:r>
    </w:p>
    <w:p>
      <w:pPr>
        <w:spacing w:after="140" w:line="276"/>
        <w:jc w:val="both"/>
      </w:pPr>
      <w:r>
        <w:rPr>
          <w:rFonts w:ascii="Calibri" w:cs="Calibri" w:eastAsia="Calibri" w:hAnsi="Calibri"/>
          <w:color w:val="222222"/>
          <w:sz w:val="21"/>
          <w:szCs w:val="21"/>
        </w:rPr>
        <w:t xml:space="preserve">If Supplier fails to deliver Products within the agreed delivery window (delivery time plus a grace period of 3 business days), Supplier shall credit Buyer liquidated damages equal to 1.0% of the affected Purchase Order line value per business day of delay, up to a maximum of 15% of the affected line value. Liquidated damages under this Section are Buyer's sole and exclusive financial remedy for late delivery, except where late delivery results from Supplier's gross negligence or willful misconduct, or where late delivery persists beyond 15 business days, in which case Buyer may additionally cancel the affected Purchase Order without penalty and procure replacement Products from an alternate source.</w:t>
      </w:r>
    </w:p>
    <w:p>
      <w:pPr>
        <w:pStyle w:val="Heading1"/>
        <w:pBdr>
          <w:bottom w:val="single" w:color="D9D9D9" w:sz="6" w:space="4"/>
        </w:pBdr>
        <w:spacing w:after="150" w:before="300"/>
      </w:pPr>
      <w:r>
        <w:rPr>
          <w:rFonts w:ascii="Calibri" w:cs="Calibri" w:eastAsia="Calibri" w:hAnsi="Calibri"/>
          <w:b/>
          <w:bCs/>
          <w:color w:val="1F3864"/>
          <w:sz w:val="28"/>
          <w:szCs w:val="28"/>
        </w:rPr>
        <w:t xml:space="preserve">12. Termination</w:t>
      </w:r>
    </w:p>
    <w:p>
      <w:pPr>
        <w:spacing w:after="140" w:line="276"/>
        <w:jc w:val="both"/>
      </w:pPr>
      <w:r>
        <w:rPr>
          <w:rFonts w:ascii="Calibri" w:cs="Calibri" w:eastAsia="Calibri" w:hAnsi="Calibri"/>
          <w:color w:val="222222"/>
          <w:sz w:val="21"/>
          <w:szCs w:val="21"/>
        </w:rPr>
        <w:t xml:space="preserve">Either Party may terminate this Agreement for convenience upon forty-five (45) calendar days' prior written notice. Either Party may terminate this Agreement for cause immediately upon written notice if the other Party materially breaches this Agreement and fails to cure such breach within ten (10) calendar days of receiving written notice describing the breach in reasonable detail. Buyer may additionally terminate immediately, without a cure period, if Supplier becomes insolvent, files for bankruptcy protection, or undergoes a change of control that Buyer reasonably determines poses a material risk to supply continuity. Upon termination, Supplier shall complete or, at Buyer's election, cancel all open Purchase Orders, and Buyer shall pay for conforming Products already shipped as of the termination date.</w:t>
      </w:r>
    </w:p>
    <w:p>
      <w:pPr>
        <w:pStyle w:val="Heading1"/>
        <w:pBdr>
          <w:bottom w:val="single" w:color="D9D9D9" w:sz="6" w:space="4"/>
        </w:pBdr>
        <w:spacing w:after="150" w:before="300"/>
      </w:pPr>
      <w:r>
        <w:rPr>
          <w:rFonts w:ascii="Calibri" w:cs="Calibri" w:eastAsia="Calibri" w:hAnsi="Calibri"/>
          <w:b/>
          <w:bCs/>
          <w:color w:val="1F3864"/>
          <w:sz w:val="28"/>
          <w:szCs w:val="28"/>
        </w:rPr>
        <w:t xml:space="preserve">13. Force Majeure</w:t>
      </w:r>
    </w:p>
    <w:p>
      <w:pPr>
        <w:spacing w:after="140" w:line="276"/>
        <w:jc w:val="both"/>
      </w:pPr>
      <w:r>
        <w:rPr>
          <w:rFonts w:ascii="Calibri" w:cs="Calibri" w:eastAsia="Calibri" w:hAnsi="Calibri"/>
          <w:color w:val="222222"/>
          <w:sz w:val="21"/>
          <w:szCs w:val="21"/>
        </w:rPr>
        <w:t xml:space="preserve">Neither Party shall be liable for any failure or delay in performance (other than payment obligations) resulting from causes beyond its reasonable control, including but not limited to acts of God, fire, flood, war, terrorism, governmental action, labor disputes, or shortages of transportation or raw paper pulp, provided that the affected Party promptly notifies the other Party in writing and uses commercially reasonable efforts to mitigate the impact. If a force majeure event continues for more than 30 consecutive calendar days, either Party may terminate the affected Purchase Order(s) without liability.</w:t>
      </w:r>
    </w:p>
    <w:p>
      <w:pPr>
        <w:pStyle w:val="Heading1"/>
        <w:pBdr>
          <w:bottom w:val="single" w:color="D9D9D9" w:sz="6" w:space="4"/>
        </w:pBdr>
        <w:spacing w:after="150" w:before="300"/>
      </w:pPr>
      <w:r>
        <w:rPr>
          <w:rFonts w:ascii="Calibri" w:cs="Calibri" w:eastAsia="Calibri" w:hAnsi="Calibri"/>
          <w:b/>
          <w:bCs/>
          <w:color w:val="1F3864"/>
          <w:sz w:val="28"/>
          <w:szCs w:val="28"/>
        </w:rPr>
        <w:t xml:space="preserve">14. Confidentiality</w:t>
      </w:r>
    </w:p>
    <w:p>
      <w:pPr>
        <w:spacing w:after="140" w:line="276"/>
        <w:jc w:val="both"/>
      </w:pPr>
      <w:r>
        <w:rPr>
          <w:rFonts w:ascii="Calibri" w:cs="Calibri" w:eastAsia="Calibri" w:hAnsi="Calibri"/>
          <w:color w:val="222222"/>
          <w:sz w:val="21"/>
          <w:szCs w:val="21"/>
        </w:rPr>
        <w:t xml:space="preserve">Each Party shall protect the other Party's confidential information, including pricing, forecasts, and business plans, using at least the same degree of care it uses to protect its own confidential information of similar importance, and in no event less than a reasonable standard of care. Confidentiality obligations under this Section shall survive termination or expiration of this Agreement for a period of three (3) years, except that confidential information constituting a trade secret under applicable law shall be protected for so long as it retains trade secret status.</w:t>
      </w:r>
    </w:p>
    <w:p>
      <w:pPr>
        <w:pStyle w:val="Heading1"/>
        <w:pBdr>
          <w:bottom w:val="single" w:color="D9D9D9" w:sz="6" w:space="4"/>
        </w:pBdr>
        <w:spacing w:after="150" w:before="300"/>
      </w:pPr>
      <w:r>
        <w:rPr>
          <w:rFonts w:ascii="Calibri" w:cs="Calibri" w:eastAsia="Calibri" w:hAnsi="Calibri"/>
          <w:b/>
          <w:bCs/>
          <w:color w:val="1F3864"/>
          <w:sz w:val="28"/>
          <w:szCs w:val="28"/>
        </w:rPr>
        <w:t xml:space="preserve">15. Dispute Resolution</w:t>
      </w:r>
    </w:p>
    <w:p>
      <w:pPr>
        <w:spacing w:after="140" w:line="276"/>
        <w:jc w:val="both"/>
      </w:pPr>
      <w:r>
        <w:rPr>
          <w:rFonts w:ascii="Calibri" w:cs="Calibri" w:eastAsia="Calibri" w:hAnsi="Calibri"/>
          <w:color w:val="222222"/>
          <w:sz w:val="21"/>
          <w:szCs w:val="21"/>
        </w:rPr>
        <w:t xml:space="preserve">The Parties shall attempt in good faith to resolve any dispute arising out of or relating to this Agreement through direct negotiation between designated representatives within 10 business days of written notice of the dispute. If the dispute is not resolved through negotiation, the Parties shall first submit the dispute to non-binding mediation administered by JAMS. If mediation does not resolve the dispute within 30 days, it shall be finally settled by binding arbitration administered by JAMS under its Comprehensive Arbitration Rules, with the arbitration seated in Franklin County, Ohio, before a single arbitrator. This Agreement shall be governed by the laws of the State of Ohio, without regard to its conflict of laws principles.</w:t>
      </w:r>
    </w:p>
    <w:p>
      <w:pPr>
        <w:pStyle w:val="Heading1"/>
        <w:pBdr>
          <w:bottom w:val="single" w:color="D9D9D9" w:sz="6" w:space="4"/>
        </w:pBdr>
        <w:spacing w:after="150" w:before="300"/>
      </w:pPr>
      <w:r>
        <w:rPr>
          <w:rFonts w:ascii="Calibri" w:cs="Calibri" w:eastAsia="Calibri" w:hAnsi="Calibri"/>
          <w:b/>
          <w:bCs/>
          <w:color w:val="1F3864"/>
          <w:sz w:val="28"/>
          <w:szCs w:val="28"/>
        </w:rPr>
        <w:t xml:space="preserve">16. Signatures</w:t>
      </w:r>
    </w:p>
    <w:p>
      <w:pPr>
        <w:spacing w:after="100"/>
      </w:pPr>
      <w:r>
        <w:rPr>
          <w:rFonts w:ascii="Calibri" w:cs="Calibri" w:eastAsia="Calibri" w:hAnsi="Calibri"/>
          <w:i/>
          <w:iCs/>
          <w:sz w:val="21"/>
          <w:szCs w:val="21"/>
        </w:rPr>
        <w:t xml:space="preserve">IN WITNESS WHEREOF, the Parties have executed this Agreement as of the Effective Date.</w:t>
      </w:r>
    </w:p>
    <w:p>
      <w:pPr>
        <w:spacing w:after="60" w:before="300"/>
      </w:pPr>
      <w:r>
        <w:rPr>
          <w:rFonts w:ascii="Calibri" w:cs="Calibri" w:eastAsia="Calibri" w:hAnsi="Calibri"/>
          <w:b/>
          <w:bCs/>
          <w:color w:val="1F3864"/>
          <w:sz w:val="21"/>
          <w:szCs w:val="21"/>
        </w:rPr>
        <w:t xml:space="preserve">BUYER</w:t>
      </w:r>
    </w:p>
    <w:p>
      <w:pPr>
        <w:spacing w:after="40"/>
      </w:pPr>
      <w:r>
        <w:rPr>
          <w:rFonts w:ascii="Calibri" w:cs="Calibri" w:eastAsia="Calibri" w:hAnsi="Calibri"/>
          <w:sz w:val="21"/>
          <w:szCs w:val="21"/>
        </w:rPr>
        <w:t xml:space="preserve">Nova Manufacturing Ltd.</w:t>
      </w:r>
    </w:p>
    <w:p>
      <w:pPr>
        <w:spacing w:after="40"/>
      </w:pPr>
      <w:r>
        <w:rPr>
          <w:rFonts w:ascii="Calibri" w:cs="Calibri" w:eastAsia="Calibri" w:hAnsi="Calibri"/>
          <w:color w:val="44546A"/>
          <w:sz w:val="20"/>
          <w:szCs w:val="20"/>
        </w:rPr>
        <w:t xml:space="preserve">1200 Foundry Road, Akron, Ohio 44301</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p>
      <w:pPr>
        <w:spacing w:after="60" w:before="300"/>
      </w:pPr>
      <w:r>
        <w:rPr>
          <w:rFonts w:ascii="Calibri" w:cs="Calibri" w:eastAsia="Calibri" w:hAnsi="Calibri"/>
          <w:b/>
          <w:bCs/>
          <w:color w:val="1F3864"/>
          <w:sz w:val="21"/>
          <w:szCs w:val="21"/>
        </w:rPr>
        <w:t xml:space="preserve">SUPPLIER</w:t>
      </w:r>
    </w:p>
    <w:p>
      <w:pPr>
        <w:spacing w:after="40"/>
      </w:pPr>
      <w:r>
        <w:rPr>
          <w:rFonts w:ascii="Calibri" w:cs="Calibri" w:eastAsia="Calibri" w:hAnsi="Calibri"/>
          <w:sz w:val="21"/>
          <w:szCs w:val="21"/>
        </w:rPr>
        <w:t xml:space="preserve">Beta_Supplies</w:t>
      </w:r>
    </w:p>
    <w:p>
      <w:pPr>
        <w:spacing w:after="40"/>
      </w:pPr>
      <w:r>
        <w:rPr>
          <w:rFonts w:ascii="Calibri" w:cs="Calibri" w:eastAsia="Calibri" w:hAnsi="Calibri"/>
          <w:color w:val="44546A"/>
          <w:sz w:val="20"/>
          <w:szCs w:val="20"/>
        </w:rPr>
        <w:t xml:space="preserve">3300 Commerce Drive, Columbus, Ohio 43215</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sectPr>
      <w:headerReference w:type="default" r:id="rId9"/>
      <w:footerReference w:type="default" r:id="rId10"/>
      <w:pgSz w:w="12240" w:h="15840" w:orient="portrait"/>
      <w:pgMar w:top="1080" w:right="1260" w:bottom="108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NML-SC-BETA-2026-002</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NML-SC-BETA-2026-002</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Beta_Supplies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Beta_Supplies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2026-07-19T17:32:36.198Z</dcterms:created>
  <dcterms:modified xsi:type="dcterms:W3CDTF">2026-07-19T17:32:36.209Z</dcterms:modified>
</cp:coreProperties>
</file>

<file path=docProps/custom.xml><?xml version="1.0" encoding="utf-8"?>
<Properties xmlns="http://schemas.openxmlformats.org/officeDocument/2006/custom-properties" xmlns:vt="http://schemas.openxmlformats.org/officeDocument/2006/docPropsVTypes"/>
</file>