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pBdr>
          <w:top w:val="single" w:color="1F3864" w:sz="12" w:space="8"/>
          <w:bottom w:val="single" w:color="1F3864" w:sz="12" w:space="8"/>
          <w:left w:val="single" w:color="1F3864" w:sz="12" w:space="8"/>
          <w:right w:val="single" w:color="1F3864" w:sz="12" w:space="8"/>
        </w:pBdr>
        <w:spacing w:after="200"/>
        <w:jc w:val="center"/>
      </w:pPr>
      <w:r>
        <w:rPr>
          <w:rFonts w:ascii="Calibri" w:cs="Calibri" w:eastAsia="Calibri" w:hAnsi="Calibri"/>
          <w:b/>
          <w:bCs/>
          <w:color w:val="1F3864"/>
          <w:sz w:val="20"/>
          <w:szCs w:val="20"/>
        </w:rPr>
        <w:t xml:space="preserve">[ NOVA MANUFACTURING LTD. — COMPANY LOGO ]</w:t>
      </w:r>
    </w:p>
    <w:p>
      <w:pPr>
        <w:spacing w:after="200" w:before="600"/>
        <w:jc w:val="center"/>
      </w:pPr>
      <w:r>
        <w:rPr>
          <w:rFonts w:ascii="Calibri" w:cs="Calibri" w:eastAsia="Calibri" w:hAnsi="Calibri"/>
          <w:b/>
          <w:bCs/>
          <w:color w:val="1F3864"/>
          <w:sz w:val="40"/>
          <w:szCs w:val="40"/>
        </w:rPr>
        <w:t xml:space="preserve">Nova Manufacturing Ltd.</w:t>
      </w:r>
    </w:p>
    <w:p>
      <w:pPr>
        <w:spacing w:after="100"/>
        <w:jc w:val="center"/>
      </w:pPr>
      <w:r>
        <w:rPr>
          <w:rFonts w:ascii="Calibri" w:cs="Calibri" w:eastAsia="Calibri" w:hAnsi="Calibri"/>
          <w:b/>
          <w:bCs/>
          <w:color w:val="44546A"/>
          <w:sz w:val="32"/>
          <w:szCs w:val="32"/>
        </w:rPr>
        <w:t xml:space="preserve">Supplier Contract — Delta_Logistics</w:t>
      </w:r>
    </w:p>
    <w:p>
      <w:pPr>
        <w:spacing w:after="600"/>
        <w:jc w:val="center"/>
      </w:pPr>
      <w:r>
        <w:rPr>
          <w:rFonts w:ascii="Calibri" w:cs="Calibri" w:eastAsia="Calibri" w:hAnsi="Calibri"/>
          <w:i/>
          <w:iCs/>
          <w:color w:val="44546A"/>
          <w:sz w:val="24"/>
          <w:szCs w:val="24"/>
        </w:rPr>
        <w:t xml:space="preserve">Master Supply Agreement for Corrugated Packaging and Protective Materials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Document ID:</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NML-SC-DELTA-2026-003</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Version:</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1.0</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Issue Date: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January 1, 2026</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Revision Date: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January 1, 2026</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Document Owner:</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Procurement Manager — Packaging Category</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Classification:</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Confidential — Contains Commercial Terms</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Supplier Name: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Delta_Logistics</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Contract Status:</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Active</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Expiration Date: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December 31, 2028</w:t>
            </w:r>
          </w:p>
        </w:tc>
      </w:tr>
    </w:tbl>
    <w:p>
      <w:r>
        <w:br w:type="page"/>
      </w:r>
    </w:p>
    <w:p>
      <w:pPr>
        <w:sectPr>
          <w:headerReference w:type="default" r:id="rId7"/>
          <w:footerReference w:type="default" r:id="rId8"/>
          <w:pgSz w:w="12240" w:h="15840" w:orient="portrait"/>
          <w:pgMar w:top="1080" w:right="1260" w:bottom="1080" w:left="1260" w:header="708" w:footer="708" w:gutter="0"/>
          <w:pgNumType/>
          <w:titlePg w:val="false"/>
          <w:docGrid w:linePitch="360"/>
        </w:sectPr>
      </w:pPr>
    </w:p>
    <w:p>
      <w:pPr>
        <w:pStyle w:val="Heading1"/>
        <w:pBdr>
          <w:bottom w:val="single" w:color="D9D9D9" w:sz="6" w:space="4"/>
        </w:pBdr>
        <w:spacing w:after="150" w:before="300"/>
      </w:pPr>
      <w:r>
        <w:rPr>
          <w:rFonts w:ascii="Calibri" w:cs="Calibri" w:eastAsia="Calibri" w:hAnsi="Calibri"/>
          <w:b/>
          <w:bCs/>
          <w:color w:val="1F3864"/>
          <w:sz w:val="28"/>
          <w:szCs w:val="28"/>
        </w:rPr>
        <w:t xml:space="preserve">1. Contract Identification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Field</w:t>
            </w:r>
          </w:p>
        </w:tc>
        <w:tc>
          <w:tcPr>
            <w:tcW w:type="dxa" w:w="6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Detail</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Contract Number</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NML-SC-DELTA-2026-003</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Contract Status</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Active</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Effective Date</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January 1, 2026</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Expiration Date</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December 31, 2028</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Initial Term</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36 months (January 1, 2026 through December 31, 2028)</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Renewal</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Automatic 12-month renewal unless either party provides 90 days' written notice of non-renewal</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Category</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Packaging — Corrugated Cartons, Stretch Film, Pallets, Protective/Void-Fill Materials</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Version</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1.0</w:t>
            </w:r>
          </w:p>
        </w:tc>
      </w:tr>
    </w:tbl>
    <w:p>
      <w:pPr>
        <w:pStyle w:val="Heading1"/>
        <w:pBdr>
          <w:bottom w:val="single" w:color="D9D9D9" w:sz="6" w:space="4"/>
        </w:pBdr>
        <w:spacing w:after="150" w:before="300"/>
      </w:pPr>
      <w:r>
        <w:rPr>
          <w:rFonts w:ascii="Calibri" w:cs="Calibri" w:eastAsia="Calibri" w:hAnsi="Calibri"/>
          <w:b/>
          <w:bCs/>
          <w:color w:val="1F3864"/>
          <w:sz w:val="28"/>
          <w:szCs w:val="28"/>
        </w:rPr>
        <w:t xml:space="preserve">2. Parties</w:t>
      </w:r>
    </w:p>
    <w:p>
      <w:pPr>
        <w:spacing w:after="140" w:line="276"/>
        <w:jc w:val="both"/>
      </w:pPr>
      <w:r>
        <w:rPr>
          <w:rFonts w:ascii="Calibri" w:cs="Calibri" w:eastAsia="Calibri" w:hAnsi="Calibri"/>
          <w:color w:val="222222"/>
          <w:sz w:val="21"/>
          <w:szCs w:val="21"/>
        </w:rPr>
        <w:t xml:space="preserve">This Master Supply Agreement ("Agreement") is entered into as of January 1, 2026 (the "Effective Date") by and between:</w:t>
      </w:r>
    </w:p>
    <w:p>
      <w:pPr>
        <w:spacing w:after="140" w:line="276"/>
        <w:jc w:val="both"/>
      </w:pPr>
      <w:r>
        <w:rPr>
          <w:rFonts w:ascii="Calibri" w:cs="Calibri" w:eastAsia="Calibri" w:hAnsi="Calibri"/>
          <w:color w:val="222222"/>
          <w:sz w:val="21"/>
          <w:szCs w:val="21"/>
        </w:rPr>
        <w:t xml:space="preserve">Nova Manufacturing Ltd., a corporation organized under the laws of the State of Delaware, with its principal manufacturing facility at 1200 Foundry Road, Akron, Ohio 44301 ("Buyer" or "Nova Manufacturing"); and</w:t>
      </w:r>
    </w:p>
    <w:p>
      <w:pPr>
        <w:spacing w:after="140" w:line="276"/>
        <w:jc w:val="both"/>
      </w:pPr>
      <w:r>
        <w:rPr>
          <w:rFonts w:ascii="Calibri" w:cs="Calibri" w:eastAsia="Calibri" w:hAnsi="Calibri"/>
          <w:color w:val="222222"/>
          <w:sz w:val="21"/>
          <w:szCs w:val="21"/>
        </w:rPr>
        <w:t xml:space="preserve">Delta_Logistics, a corporation organized under the laws of the State of South Carolina, with its principal packaging production facility at 750 Harbor Industrial Boulevard, Charleston, South Carolina 29405 ("Supplier" or "Delta_Logistics").</w:t>
      </w:r>
    </w:p>
    <w:p>
      <w:pPr>
        <w:spacing w:after="140" w:line="276"/>
        <w:jc w:val="both"/>
      </w:pPr>
      <w:r>
        <w:rPr>
          <w:rFonts w:ascii="Calibri" w:cs="Calibri" w:eastAsia="Calibri" w:hAnsi="Calibri"/>
          <w:color w:val="222222"/>
          <w:sz w:val="21"/>
          <w:szCs w:val="21"/>
        </w:rPr>
        <w:t xml:space="preserve">Buyer and Supplier may each be referred to individually as a "Party" and collectively as the "Parties." This Agreement is Active as of the Effective Date and shall remain in full force and effect through the Expiration Date stated above, unless earlier terminated in accordance with Section 12.</w:t>
      </w:r>
    </w:p>
    <w:p>
      <w:pPr>
        <w:pStyle w:val="Heading1"/>
        <w:pBdr>
          <w:bottom w:val="single" w:color="D9D9D9" w:sz="6" w:space="4"/>
        </w:pBdr>
        <w:spacing w:after="150" w:before="300"/>
      </w:pPr>
      <w:r>
        <w:rPr>
          <w:rFonts w:ascii="Calibri" w:cs="Calibri" w:eastAsia="Calibri" w:hAnsi="Calibri"/>
          <w:b/>
          <w:bCs/>
          <w:color w:val="1F3864"/>
          <w:sz w:val="28"/>
          <w:szCs w:val="28"/>
        </w:rPr>
        <w:t xml:space="preserve">3. Scope of Supply</w:t>
      </w:r>
    </w:p>
    <w:p>
      <w:pPr>
        <w:spacing w:after="140" w:line="276"/>
        <w:jc w:val="both"/>
      </w:pPr>
      <w:r>
        <w:rPr>
          <w:rFonts w:ascii="Calibri" w:cs="Calibri" w:eastAsia="Calibri" w:hAnsi="Calibri"/>
          <w:color w:val="222222"/>
          <w:sz w:val="21"/>
          <w:szCs w:val="21"/>
        </w:rPr>
        <w:t xml:space="preserve">Supplier shall manufacture, print, and supply to Buyer the corrugated packaging, protective materials, and unitization products identified in Section 4 (the "Products") for use in packing, palletizing, and shipping finished goods manufactured at Buyer's Akron, Ohio facility, in the quantities and at the times specified in individual Purchase Orders and Buyer's rolling 13-week packaging forecast issued under this Agreement. This Agreement establishes the general commercial and legal framework governing all such Purchase Orders; in the event of a conflict between this Agreement and a specific Purchase Order, this Agreement shall govern unless the Purchase Order expressly states an intent to deviate and is countersigned by both Parties.</w:t>
      </w:r>
    </w:p>
    <w:p>
      <w:pPr>
        <w:pStyle w:val="Heading1"/>
        <w:pBdr>
          <w:bottom w:val="single" w:color="D9D9D9" w:sz="6" w:space="4"/>
        </w:pBdr>
        <w:spacing w:after="150" w:before="300"/>
      </w:pPr>
      <w:r>
        <w:rPr>
          <w:rFonts w:ascii="Calibri" w:cs="Calibri" w:eastAsia="Calibri" w:hAnsi="Calibri"/>
          <w:b/>
          <w:bCs/>
          <w:color w:val="1F3864"/>
          <w:sz w:val="28"/>
          <w:szCs w:val="28"/>
        </w:rPr>
        <w:t xml:space="preserve">4. Products and 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rPr>
          <w:tblHeader/>
        </w:trPr>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Item Code</w:t>
            </w:r>
          </w:p>
        </w:tc>
        <w:tc>
          <w:tcPr>
            <w:tcW w:type="dxa" w:w="3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3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Key Specification</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PK-BOX-24C</w:t>
            </w:r>
          </w:p>
        </w:tc>
        <w:tc>
          <w:tcPr>
            <w:tcW w:type="dxa" w:w="3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Regular Slotted Container (RSC), double-wall corrugated, 24"x18"x18"</w:t>
            </w:r>
          </w:p>
        </w:tc>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48 ECT (Edge Crush Test); FEFCO 0201 style</w:t>
            </w:r>
          </w:p>
        </w:tc>
      </w:tr>
      <w:tr>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PK-WRP-80S</w:t>
            </w:r>
          </w:p>
        </w:tc>
        <w:tc>
          <w:tcPr>
            <w:tcW w:type="dxa" w:w="3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Machine-Grade Stretch Wrap Film, 80-gauge, 20" x 5,000 ft roll</w:t>
            </w:r>
          </w:p>
        </w:tc>
        <w:tc>
          <w:tcPr>
            <w:tcW w:type="dxa" w:w="3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Elongation ≥ 250%; puncture resistance per ASTM D1709</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PK-PLT-48G</w:t>
            </w:r>
          </w:p>
        </w:tc>
        <w:tc>
          <w:tcPr>
            <w:tcW w:type="dxa" w:w="3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GMA Standard Pallet, 48"x40", 4-way entry, heat-treated wood</w:t>
            </w:r>
          </w:p>
        </w:tc>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ISPM-15 certified for export shipments; static load capacity 4,600 lb</w:t>
            </w:r>
          </w:p>
        </w:tc>
      </w:tr>
      <w:tr>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PK-VFL-15C</w:t>
            </w:r>
          </w:p>
        </w:tc>
        <w:tc>
          <w:tcPr>
            <w:tcW w:type="dxa" w:w="3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Biodegradable Void-Fill Packing Peanuts, 15 cu. ft. compressed bag</w:t>
            </w:r>
          </w:p>
        </w:tc>
        <w:tc>
          <w:tcPr>
            <w:tcW w:type="dxa" w:w="3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Starch-based, water-soluble, ASTM D6400 compostable</w:t>
            </w:r>
          </w:p>
        </w:tc>
      </w:tr>
    </w:tbl>
    <w:p>
      <w:pPr>
        <w:spacing w:after="140" w:line="276"/>
        <w:jc w:val="both"/>
      </w:pPr>
      <w:r>
        <w:rPr>
          <w:rFonts w:ascii="Calibri" w:cs="Calibri" w:eastAsia="Calibri" w:hAnsi="Calibri"/>
          <w:color w:val="222222"/>
          <w:sz w:val="21"/>
          <w:szCs w:val="21"/>
        </w:rPr>
        <w:t xml:space="preserve">All Products shall conform to the specifications, board grades, and print artwork referenced in the applicable Purchase Order and to Buyer's Packaging Engineering Specification Sheets as revised from time to time and communicated in writing to Supplier no less than 30 days prior to a specification change taking effect on open orders. Where Products are used in international export shipments, Supplier shall ensure compliance with ISPM-15 wood packaging treatment requirements.</w:t>
      </w:r>
    </w:p>
    <w:p>
      <w:pPr>
        <w:pStyle w:val="Heading1"/>
        <w:pBdr>
          <w:bottom w:val="single" w:color="D9D9D9" w:sz="6" w:space="4"/>
        </w:pBdr>
        <w:spacing w:after="150" w:before="300"/>
      </w:pPr>
      <w:r>
        <w:rPr>
          <w:rFonts w:ascii="Calibri" w:cs="Calibri" w:eastAsia="Calibri" w:hAnsi="Calibri"/>
          <w:b/>
          <w:bCs/>
          <w:color w:val="1F3864"/>
          <w:sz w:val="28"/>
          <w:szCs w:val="28"/>
        </w:rPr>
        <w:t xml:space="preserve">5. Pricing</w:t>
      </w:r>
    </w:p>
    <w:p>
      <w:pPr>
        <w:spacing w:after="140" w:line="276"/>
        <w:jc w:val="both"/>
      </w:pPr>
      <w:r>
        <w:rPr>
          <w:rFonts w:ascii="Calibri" w:cs="Calibri" w:eastAsia="Calibri" w:hAnsi="Calibri"/>
          <w:color w:val="222222"/>
          <w:sz w:val="21"/>
          <w:szCs w:val="21"/>
        </w:rPr>
        <w:t xml:space="preserve">Unit pricing is fixed for the Initial Term as set forth below, subject to the price adjustment mechanism in Section 5.1. All prices are stated in United States Dollars (USD) and exclude applicable sales, use, or excise taxes, which shall be stated separately on Supplier's invoices.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000"/>
      </w:tblGrid>
      <w:tr>
        <w:trPr>
          <w:tblHeader/>
        </w:trPr>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Item Code</w:t>
            </w:r>
          </w:p>
        </w:tc>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Unit Price (USD)</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Minimum Order Qty</w:t>
            </w:r>
          </w:p>
        </w:tc>
        <w:tc>
          <w:tcPr>
            <w:tcW w:type="dxa" w:w="2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Volume Discount</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PK-BOX-24C</w:t>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$2.85 / carton</w:t>
            </w:r>
          </w:p>
        </w:tc>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500 cartons</w:t>
            </w:r>
          </w:p>
        </w:tc>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9% at 5,000+ cartons</w:t>
            </w:r>
          </w:p>
        </w:tc>
      </w:tr>
      <w:tr>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PK-WRP-80S</w:t>
            </w:r>
          </w:p>
        </w:tc>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$46.10 / roll</w:t>
            </w:r>
          </w:p>
        </w:tc>
        <w:tc>
          <w:tcPr>
            <w:tcW w:type="dxa" w:w="2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40 rolls</w:t>
            </w:r>
          </w:p>
        </w:tc>
        <w:tc>
          <w:tcPr>
            <w:tcW w:type="dxa" w:w="2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7% at 250+ rolls</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PK-PLT-48G</w:t>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$18.75 / pallet</w:t>
            </w:r>
          </w:p>
        </w:tc>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100 pallets</w:t>
            </w:r>
          </w:p>
        </w:tc>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8% at 1,000+ pallets</w:t>
            </w:r>
          </w:p>
        </w:tc>
      </w:tr>
      <w:tr>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PK-VFL-15C</w:t>
            </w:r>
          </w:p>
        </w:tc>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$11.40 / bag</w:t>
            </w:r>
          </w:p>
        </w:tc>
        <w:tc>
          <w:tcPr>
            <w:tcW w:type="dxa" w:w="2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60 bags</w:t>
            </w:r>
          </w:p>
        </w:tc>
        <w:tc>
          <w:tcPr>
            <w:tcW w:type="dxa" w:w="2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6% at 400+ bags</w:t>
            </w:r>
          </w:p>
        </w:tc>
      </w:tr>
    </w:tbl>
    <w:p>
      <w:pPr>
        <w:pStyle w:val="Heading2"/>
        <w:spacing w:after="120" w:before="240"/>
      </w:pPr>
      <w:r>
        <w:rPr>
          <w:rFonts w:ascii="Calibri" w:cs="Calibri" w:eastAsia="Calibri" w:hAnsi="Calibri"/>
          <w:b/>
          <w:bCs/>
          <w:color w:val="44546A"/>
          <w:sz w:val="24"/>
          <w:szCs w:val="24"/>
        </w:rPr>
        <w:t xml:space="preserve">5.1 Price Adjustment Mechanism</w:t>
      </w:r>
    </w:p>
    <w:p>
      <w:pPr>
        <w:spacing w:after="140" w:line="276"/>
        <w:jc w:val="both"/>
      </w:pPr>
      <w:r>
        <w:rPr>
          <w:rFonts w:ascii="Calibri" w:cs="Calibri" w:eastAsia="Calibri" w:hAnsi="Calibri"/>
          <w:color w:val="222222"/>
          <w:sz w:val="21"/>
          <w:szCs w:val="21"/>
        </w:rPr>
        <w:t xml:space="preserve">Unit pricing may be adjusted no more than once per 12-month period, and only upon 90 days' written notice from Supplier, to reflect documented increases in containerboard, resin, or softwood lumber costs exceeding 7% as evidenced by a recognized index such as the Fibre Box Association containerboard price index. Any such adjustment is subject to Buyer's review and written approval, which shall not be unreasonably withheld. Supplier shall provide Buyer no less than 60 days' advance written notice of any planned reduction in production capacity at the Charleston facility.</w:t>
      </w:r>
    </w:p>
    <w:p>
      <w:pPr>
        <w:pStyle w:val="Heading1"/>
        <w:pBdr>
          <w:bottom w:val="single" w:color="D9D9D9" w:sz="6" w:space="4"/>
        </w:pBdr>
        <w:spacing w:after="150" w:before="300"/>
      </w:pPr>
      <w:r>
        <w:rPr>
          <w:rFonts w:ascii="Calibri" w:cs="Calibri" w:eastAsia="Calibri" w:hAnsi="Calibri"/>
          <w:b/>
          <w:bCs/>
          <w:color w:val="1F3864"/>
          <w:sz w:val="28"/>
          <w:szCs w:val="28"/>
        </w:rPr>
        <w:t xml:space="preserve">6. Delivery Terms</w:t>
      </w:r>
    </w:p>
    <w:p>
      <w:pPr>
        <w:spacing w:after="140" w:line="276"/>
        <w:jc w:val="both"/>
      </w:pPr>
      <w:r>
        <w:rPr>
          <w:rFonts w:ascii="Calibri" w:cs="Calibri" w:eastAsia="Calibri" w:hAnsi="Calibri"/>
          <w:color w:val="222222"/>
          <w:sz w:val="21"/>
          <w:szCs w:val="21"/>
        </w:rPr>
        <w:t xml:space="preserve">Standard lead time is fifteen (15) business days from Supplier's written order acknowledgment for standard-dimension corrugated cartons, stretch film, and pallets, and twenty-five (25) business days for custom die-cut, printed, or non-standard carton configurations requiring new tooling. Supplier shall maintain a rolling 4-week finished-goods buffer of Buyer's top ten highest-volume packaging items at its Charleston, South Carolina facility to support Buyer's just-in-time production schedule.</w:t>
      </w:r>
    </w:p>
    <w:p>
      <w:pPr>
        <w:pStyle w:val="Heading2"/>
        <w:spacing w:after="120" w:before="240"/>
      </w:pPr>
      <w:r>
        <w:rPr>
          <w:rFonts w:ascii="Calibri" w:cs="Calibri" w:eastAsia="Calibri" w:hAnsi="Calibri"/>
          <w:b/>
          <w:bCs/>
          <w:color w:val="44546A"/>
          <w:sz w:val="24"/>
          <w:szCs w:val="24"/>
        </w:rPr>
        <w:t xml:space="preserve">6.1 Incoterms</w:t>
      </w:r>
    </w:p>
    <w:p>
      <w:pPr>
        <w:spacing w:after="140" w:line="276"/>
        <w:jc w:val="both"/>
      </w:pPr>
      <w:r>
        <w:rPr>
          <w:rFonts w:ascii="Calibri" w:cs="Calibri" w:eastAsia="Calibri" w:hAnsi="Calibri"/>
          <w:color w:val="222222"/>
          <w:sz w:val="21"/>
          <w:szCs w:val="21"/>
        </w:rPr>
        <w:t xml:space="preserve">Delivery shall be governed by CPT (Carriage Paid To) Buyer's Akron, Ohio receiving dock, Incoterms® 2020, unless a specific Purchase Order specifies otherwise. Supplier shall arrange and pay for carriage to the named destination; however, risk of loss transfers to Buyer upon Supplier's delivery of Products to the first carrier, consistent with the CPT rule.</w:t>
      </w:r>
    </w:p>
    <w:p>
      <w:pPr>
        <w:pStyle w:val="Heading1"/>
        <w:pBdr>
          <w:bottom w:val="single" w:color="D9D9D9" w:sz="6" w:space="4"/>
        </w:pBdr>
        <w:spacing w:after="150" w:before="300"/>
      </w:pPr>
      <w:r>
        <w:rPr>
          <w:rFonts w:ascii="Calibri" w:cs="Calibri" w:eastAsia="Calibri" w:hAnsi="Calibri"/>
          <w:b/>
          <w:bCs/>
          <w:color w:val="1F3864"/>
          <w:sz w:val="28"/>
          <w:szCs w:val="28"/>
        </w:rPr>
        <w:t xml:space="preserve">7. Payment Terms</w:t>
      </w:r>
    </w:p>
    <w:p>
      <w:pPr>
        <w:spacing w:after="140" w:line="276"/>
        <w:jc w:val="both"/>
      </w:pPr>
      <w:r>
        <w:rPr>
          <w:rFonts w:ascii="Calibri" w:cs="Calibri" w:eastAsia="Calibri" w:hAnsi="Calibri"/>
          <w:color w:val="222222"/>
          <w:sz w:val="21"/>
          <w:szCs w:val="21"/>
        </w:rPr>
        <w:t xml:space="preserve">Payment terms are Net 60 days from the date of Supplier's invoice, provided the invoice matches the Purchase Order and the Goods Receipt Note within Buyer's standard 2% tolerance. Supplier offers an early payment discount of 1.5% if payment is remitted within 20 days of the invoice date (1.5%/20 Net 60). Invoices shall be submitted electronically to accountspayable@novamanufacturing-example.com and shall reference the applicable Purchase Order number and packaging specification code.</w:t>
      </w:r>
    </w:p>
    <w:p>
      <w:pPr>
        <w:pStyle w:val="Heading1"/>
        <w:pBdr>
          <w:bottom w:val="single" w:color="D9D9D9" w:sz="6" w:space="4"/>
        </w:pBdr>
        <w:spacing w:after="150" w:before="300"/>
      </w:pPr>
      <w:r>
        <w:rPr>
          <w:rFonts w:ascii="Calibri" w:cs="Calibri" w:eastAsia="Calibri" w:hAnsi="Calibri"/>
          <w:b/>
          <w:bCs/>
          <w:color w:val="1F3864"/>
          <w:sz w:val="28"/>
          <w:szCs w:val="28"/>
        </w:rPr>
        <w:t xml:space="preserve">8. Quality Standards</w:t>
      </w:r>
    </w:p>
    <w:p>
      <w:pPr>
        <w:spacing w:after="140" w:line="276"/>
        <w:jc w:val="both"/>
      </w:pPr>
      <w:r>
        <w:rPr>
          <w:rFonts w:ascii="Calibri" w:cs="Calibri" w:eastAsia="Calibri" w:hAnsi="Calibri"/>
          <w:color w:val="222222"/>
          <w:sz w:val="21"/>
          <w:szCs w:val="21"/>
        </w:rPr>
        <w:t xml:space="preserve">Supplier shall maintain, throughout the Term, certification to ISO 9001:2015 and shall manufacture all corrugated Products in conformance with FEFCO (European Federation of Corrugated Board Manufacturers) style codes and the Edge Crush Test (ECT) ratings specified per item in Section 4. Supplier shall conduct, and make available to Buyer upon request, ISTA (International Safe Transit Association) 3A transit-simulation test reports for any new carton design prior to first production shipment. Wood pallets supplied for export use shall be heat-treated and stamped in accordance with ISPM-15.</w:t>
      </w:r>
    </w:p>
    <w:p>
      <w:pPr>
        <w:pStyle w:val="Heading1"/>
        <w:pBdr>
          <w:bottom w:val="single" w:color="D9D9D9" w:sz="6" w:space="4"/>
        </w:pBdr>
        <w:spacing w:after="150" w:before="300"/>
      </w:pPr>
      <w:r>
        <w:rPr>
          <w:rFonts w:ascii="Calibri" w:cs="Calibri" w:eastAsia="Calibri" w:hAnsi="Calibri"/>
          <w:b/>
          <w:bCs/>
          <w:color w:val="1F3864"/>
          <w:sz w:val="28"/>
          <w:szCs w:val="28"/>
        </w:rPr>
        <w:t xml:space="preserve">9. Inspection</w:t>
      </w:r>
    </w:p>
    <w:p>
      <w:pPr>
        <w:spacing w:after="140" w:line="276"/>
        <w:jc w:val="both"/>
      </w:pPr>
      <w:r>
        <w:rPr>
          <w:rFonts w:ascii="Calibri" w:cs="Calibri" w:eastAsia="Calibri" w:hAnsi="Calibri"/>
          <w:color w:val="222222"/>
          <w:sz w:val="21"/>
          <w:szCs w:val="21"/>
        </w:rPr>
        <w:t xml:space="preserve">Buyer shall perform incoming inspection on all shipments in accordance with ANSI/ASQ Z1.4 General Inspection Level I, Acceptable Quality Level (AQL) 4.0 for cosmetic and dimensional defects and AQL 1.5 for structural defects (crushed edges, delamination, broken pallet stringers). Buyer shall notify Supplier of any nonconformance within seven (7) business days of receipt. Buyer reserves the right to reject and return, at Supplier's expense, any lot exceeding the applicable AQL, and Supplier shall replace rejected units within ten (10) business days of notification at no additional cost to Buyer.</w:t>
      </w:r>
    </w:p>
    <w:p>
      <w:pPr>
        <w:pStyle w:val="Heading1"/>
        <w:pBdr>
          <w:bottom w:val="single" w:color="D9D9D9" w:sz="6" w:space="4"/>
        </w:pBdr>
        <w:spacing w:after="150" w:before="300"/>
      </w:pPr>
      <w:r>
        <w:rPr>
          <w:rFonts w:ascii="Calibri" w:cs="Calibri" w:eastAsia="Calibri" w:hAnsi="Calibri"/>
          <w:b/>
          <w:bCs/>
          <w:color w:val="1F3864"/>
          <w:sz w:val="28"/>
          <w:szCs w:val="28"/>
        </w:rPr>
        <w:t xml:space="preserve">10. Warranty</w:t>
      </w:r>
    </w:p>
    <w:p>
      <w:pPr>
        <w:spacing w:after="140" w:line="276"/>
        <w:jc w:val="both"/>
      </w:pPr>
      <w:r>
        <w:rPr>
          <w:rFonts w:ascii="Calibri" w:cs="Calibri" w:eastAsia="Calibri" w:hAnsi="Calibri"/>
          <w:color w:val="222222"/>
          <w:sz w:val="21"/>
          <w:szCs w:val="21"/>
        </w:rPr>
        <w:t xml:space="preserve">Supplier warrants that all Products shall be free from defects in material, printing, and workmanship, and shall meet the structural performance ratings (including ECT and static load capacity) specified in Section 4, for a period of twelve (12) months from the date of delivery (the "Warranty Period"). If any Product fails to conform during the Warranty Period, including failure to meet its rated load capacity under normal use resulting in in-transit product damage, Supplier shall, at Buyer's option, replace the nonconforming Product or issue a full credit, including reasonable costs incurred by Buyer for any resulting damage claims from Buyer's downstream customers directly attributable to the packaging failure, up to an aggregate cap of $50,000 per incident. This warranty is in addition to, and not in lieu of, any implied warranties of merchantability and fitness for a particular purpose, which are not disclaimed under this Agreement.</w:t>
      </w:r>
    </w:p>
    <w:p>
      <w:pPr>
        <w:pStyle w:val="Heading1"/>
        <w:pBdr>
          <w:bottom w:val="single" w:color="D9D9D9" w:sz="6" w:space="4"/>
        </w:pBdr>
        <w:spacing w:after="150" w:before="300"/>
      </w:pPr>
      <w:r>
        <w:rPr>
          <w:rFonts w:ascii="Calibri" w:cs="Calibri" w:eastAsia="Calibri" w:hAnsi="Calibri"/>
          <w:b/>
          <w:bCs/>
          <w:color w:val="1F3864"/>
          <w:sz w:val="28"/>
          <w:szCs w:val="28"/>
        </w:rPr>
        <w:t xml:space="preserve">11. Late Delivery Penalty</w:t>
      </w:r>
    </w:p>
    <w:p>
      <w:pPr>
        <w:spacing w:after="140" w:line="276"/>
        <w:jc w:val="both"/>
      </w:pPr>
      <w:r>
        <w:rPr>
          <w:rFonts w:ascii="Calibri" w:cs="Calibri" w:eastAsia="Calibri" w:hAnsi="Calibri"/>
          <w:color w:val="222222"/>
          <w:sz w:val="21"/>
          <w:szCs w:val="21"/>
        </w:rPr>
        <w:t xml:space="preserve">If Supplier fails to deliver Products within the agreed delivery window (lead time plus a grace period of 3 business days), Supplier shall credit Buyer liquidated damages equal to 0.75% of the affected Purchase Order line value per business day of delay, up to a maximum of 12% of the affected line value. Liquidated damages under this Section are Buyer's sole and exclusive financial remedy for late delivery, except where late delivery results from Supplier's gross negligence or willful misconduct, or where late delivery persists beyond 18 business days, in which case Buyer may additionally cancel the affected Purchase Order without penalty and procure replacement Products from an alternate source. Buyer may also invoke expedited air or truckload freight at Supplier's expense where a production line stoppage is imminent due to a packaging shortage.</w:t>
      </w:r>
    </w:p>
    <w:p>
      <w:pPr>
        <w:pStyle w:val="Heading1"/>
        <w:pBdr>
          <w:bottom w:val="single" w:color="D9D9D9" w:sz="6" w:space="4"/>
        </w:pBdr>
        <w:spacing w:after="150" w:before="300"/>
      </w:pPr>
      <w:r>
        <w:rPr>
          <w:rFonts w:ascii="Calibri" w:cs="Calibri" w:eastAsia="Calibri" w:hAnsi="Calibri"/>
          <w:b/>
          <w:bCs/>
          <w:color w:val="1F3864"/>
          <w:sz w:val="28"/>
          <w:szCs w:val="28"/>
        </w:rPr>
        <w:t xml:space="preserve">12. Termination</w:t>
      </w:r>
    </w:p>
    <w:p>
      <w:pPr>
        <w:spacing w:after="140" w:line="276"/>
        <w:jc w:val="both"/>
      </w:pPr>
      <w:r>
        <w:rPr>
          <w:rFonts w:ascii="Calibri" w:cs="Calibri" w:eastAsia="Calibri" w:hAnsi="Calibri"/>
          <w:color w:val="222222"/>
          <w:sz w:val="21"/>
          <w:szCs w:val="21"/>
        </w:rPr>
        <w:t xml:space="preserve">Either Party may terminate this Agreement for convenience upon ninety (90) calendar days' prior written notice. Either Party may terminate this Agreement for cause immediately upon written notice if the other Party materially breaches this Agreement and fails to cure such breach within twenty (20) calendar days of receiving written notice describing the breach in reasonable detail. Buyer may additionally terminate immediately, without a cure period, if Supplier becomes insolvent, files for bankruptcy protection, or undergoes a change of control that Buyer reasonably determines poses a material risk to supply continuity. Upon termination, Supplier shall complete or, at Buyer's election, cancel all open Purchase Orders, and Buyer shall pay for conforming Products already manufactured or in transit as of the termination date.</w:t>
      </w:r>
    </w:p>
    <w:p>
      <w:pPr>
        <w:pStyle w:val="Heading1"/>
        <w:pBdr>
          <w:bottom w:val="single" w:color="D9D9D9" w:sz="6" w:space="4"/>
        </w:pBdr>
        <w:spacing w:after="150" w:before="300"/>
      </w:pPr>
      <w:r>
        <w:rPr>
          <w:rFonts w:ascii="Calibri" w:cs="Calibri" w:eastAsia="Calibri" w:hAnsi="Calibri"/>
          <w:b/>
          <w:bCs/>
          <w:color w:val="1F3864"/>
          <w:sz w:val="28"/>
          <w:szCs w:val="28"/>
        </w:rPr>
        <w:t xml:space="preserve">13. Force Majeure</w:t>
      </w:r>
    </w:p>
    <w:p>
      <w:pPr>
        <w:spacing w:after="140" w:line="276"/>
        <w:jc w:val="both"/>
      </w:pPr>
      <w:r>
        <w:rPr>
          <w:rFonts w:ascii="Calibri" w:cs="Calibri" w:eastAsia="Calibri" w:hAnsi="Calibri"/>
          <w:color w:val="222222"/>
          <w:sz w:val="21"/>
          <w:szCs w:val="21"/>
        </w:rPr>
        <w:t xml:space="preserve">Neither Party shall be liable for any failure or delay in performance (other than payment obligations) resulting from causes beyond its reasonable control, including but not limited to acts of God, hurricanes or other severe weather events affecting the Port of Charleston, fire, flood, war, terrorism, governmental action, labor disputes, or shortages of containerboard, resin, or lumber, provided that the affected Party promptly notifies the other Party in writing and uses commercially reasonable efforts to mitigate the impact. If a force majeure event continues for more than 45 consecutive calendar days, either Party may terminate the affected Purchase Order(s) without liability.</w:t>
      </w:r>
    </w:p>
    <w:p>
      <w:pPr>
        <w:pStyle w:val="Heading1"/>
        <w:pBdr>
          <w:bottom w:val="single" w:color="D9D9D9" w:sz="6" w:space="4"/>
        </w:pBdr>
        <w:spacing w:after="150" w:before="300"/>
      </w:pPr>
      <w:r>
        <w:rPr>
          <w:rFonts w:ascii="Calibri" w:cs="Calibri" w:eastAsia="Calibri" w:hAnsi="Calibri"/>
          <w:b/>
          <w:bCs/>
          <w:color w:val="1F3864"/>
          <w:sz w:val="28"/>
          <w:szCs w:val="28"/>
        </w:rPr>
        <w:t xml:space="preserve">14. Confidentiality</w:t>
      </w:r>
    </w:p>
    <w:p>
      <w:pPr>
        <w:spacing w:after="140" w:line="276"/>
        <w:jc w:val="both"/>
      </w:pPr>
      <w:r>
        <w:rPr>
          <w:rFonts w:ascii="Calibri" w:cs="Calibri" w:eastAsia="Calibri" w:hAnsi="Calibri"/>
          <w:color w:val="222222"/>
          <w:sz w:val="21"/>
          <w:szCs w:val="21"/>
        </w:rPr>
        <w:t xml:space="preserve">Each Party shall protect the other Party's confidential information, including pricing, packaging designs, forecasts, and business plans, using at least the same degree of care it uses to protect its own confidential information of similar importance, and in no event less than a reasonable standard of care. Confidentiality obligations under this Section shall survive termination or expiration of this Agreement for a period of five (5) years, except that confidential information constituting a trade secret under applicable law (including proprietary carton die-line designs) shall be protected for so long as it retains trade secret status.</w:t>
      </w:r>
    </w:p>
    <w:p>
      <w:pPr>
        <w:pStyle w:val="Heading1"/>
        <w:pBdr>
          <w:bottom w:val="single" w:color="D9D9D9" w:sz="6" w:space="4"/>
        </w:pBdr>
        <w:spacing w:after="150" w:before="300"/>
      </w:pPr>
      <w:r>
        <w:rPr>
          <w:rFonts w:ascii="Calibri" w:cs="Calibri" w:eastAsia="Calibri" w:hAnsi="Calibri"/>
          <w:b/>
          <w:bCs/>
          <w:color w:val="1F3864"/>
          <w:sz w:val="28"/>
          <w:szCs w:val="28"/>
        </w:rPr>
        <w:t xml:space="preserve">15. Dispute Resolution</w:t>
      </w:r>
    </w:p>
    <w:p>
      <w:pPr>
        <w:spacing w:after="140" w:line="276"/>
        <w:jc w:val="both"/>
      </w:pPr>
      <w:r>
        <w:rPr>
          <w:rFonts w:ascii="Calibri" w:cs="Calibri" w:eastAsia="Calibri" w:hAnsi="Calibri"/>
          <w:color w:val="222222"/>
          <w:sz w:val="21"/>
          <w:szCs w:val="21"/>
        </w:rPr>
        <w:t xml:space="preserve">The Parties shall attempt in good faith to resolve any dispute arising out of or relating to this Agreement through direct negotiation between designated representatives within 15 business days of written notice of the dispute. If the dispute is not resolved through negotiation, it shall be finally settled by binding arbitration administered by the American Arbitration Association under its Expedited Commercial Arbitration Procedures, with the arbitration seated in Charleston County, South Carolina, before a single arbitrator. This Agreement shall be governed by the laws of the State of South Carolina, without regard to its conflict of laws principles.</w:t>
      </w:r>
    </w:p>
    <w:p>
      <w:pPr>
        <w:pStyle w:val="Heading1"/>
        <w:pBdr>
          <w:bottom w:val="single" w:color="D9D9D9" w:sz="6" w:space="4"/>
        </w:pBdr>
        <w:spacing w:after="150" w:before="300"/>
      </w:pPr>
      <w:r>
        <w:rPr>
          <w:rFonts w:ascii="Calibri" w:cs="Calibri" w:eastAsia="Calibri" w:hAnsi="Calibri"/>
          <w:b/>
          <w:bCs/>
          <w:color w:val="1F3864"/>
          <w:sz w:val="28"/>
          <w:szCs w:val="28"/>
        </w:rPr>
        <w:t xml:space="preserve">16. Signatures</w:t>
      </w:r>
    </w:p>
    <w:p>
      <w:pPr>
        <w:spacing w:after="100"/>
      </w:pPr>
      <w:r>
        <w:rPr>
          <w:rFonts w:ascii="Calibri" w:cs="Calibri" w:eastAsia="Calibri" w:hAnsi="Calibri"/>
          <w:i/>
          <w:iCs/>
          <w:sz w:val="21"/>
          <w:szCs w:val="21"/>
        </w:rPr>
        <w:t xml:space="preserve">IN WITNESS WHEREOF, the Parties have executed this Agreement as of the Effective Date.</w:t>
      </w:r>
    </w:p>
    <w:p>
      <w:pPr>
        <w:spacing w:after="60" w:before="300"/>
      </w:pPr>
      <w:r>
        <w:rPr>
          <w:rFonts w:ascii="Calibri" w:cs="Calibri" w:eastAsia="Calibri" w:hAnsi="Calibri"/>
          <w:b/>
          <w:bCs/>
          <w:color w:val="1F3864"/>
          <w:sz w:val="21"/>
          <w:szCs w:val="21"/>
        </w:rPr>
        <w:t xml:space="preserve">BUYER</w:t>
      </w:r>
    </w:p>
    <w:p>
      <w:pPr>
        <w:spacing w:after="40"/>
      </w:pPr>
      <w:r>
        <w:rPr>
          <w:rFonts w:ascii="Calibri" w:cs="Calibri" w:eastAsia="Calibri" w:hAnsi="Calibri"/>
          <w:sz w:val="21"/>
          <w:szCs w:val="21"/>
        </w:rPr>
        <w:t xml:space="preserve">Nova Manufacturing Ltd.</w:t>
      </w:r>
    </w:p>
    <w:p>
      <w:pPr>
        <w:spacing w:after="40"/>
      </w:pPr>
      <w:r>
        <w:rPr>
          <w:rFonts w:ascii="Calibri" w:cs="Calibri" w:eastAsia="Calibri" w:hAnsi="Calibri"/>
          <w:color w:val="44546A"/>
          <w:sz w:val="20"/>
          <w:szCs w:val="20"/>
        </w:rPr>
        <w:t xml:space="preserve">1200 Foundry Road, Akron, Ohio 44301</w:t>
      </w:r>
    </w:p>
    <w:p>
      <w:pPr>
        <w:spacing w:after="40" w:before="300"/>
      </w:pPr>
      <w:r>
        <w:rPr>
          <w:rFonts w:ascii="Calibri" w:cs="Calibri" w:eastAsia="Calibri" w:hAnsi="Calibri"/>
          <w:sz w:val="20"/>
          <w:szCs w:val="20"/>
        </w:rPr>
        <w:t xml:space="preserve">Signature: ______________________________</w:t>
      </w:r>
    </w:p>
    <w:p>
      <w:pPr>
        <w:spacing w:after="40"/>
      </w:pPr>
      <w:r>
        <w:rPr>
          <w:rFonts w:ascii="Calibri" w:cs="Calibri" w:eastAsia="Calibri" w:hAnsi="Calibri"/>
          <w:sz w:val="20"/>
          <w:szCs w:val="20"/>
        </w:rPr>
        <w:t xml:space="preserve">Name: __________________________________</w:t>
      </w:r>
    </w:p>
    <w:p>
      <w:pPr>
        <w:spacing w:after="40"/>
      </w:pPr>
      <w:r>
        <w:rPr>
          <w:rFonts w:ascii="Calibri" w:cs="Calibri" w:eastAsia="Calibri" w:hAnsi="Calibri"/>
          <w:sz w:val="20"/>
          <w:szCs w:val="20"/>
        </w:rPr>
        <w:t xml:space="preserve">Title: ___________________________________</w:t>
      </w:r>
    </w:p>
    <w:p>
      <w:pPr>
        <w:spacing w:after="200"/>
      </w:pPr>
      <w:r>
        <w:rPr>
          <w:rFonts w:ascii="Calibri" w:cs="Calibri" w:eastAsia="Calibri" w:hAnsi="Calibri"/>
          <w:sz w:val="20"/>
          <w:szCs w:val="20"/>
        </w:rPr>
        <w:t xml:space="preserve">Date: ___________________________________</w:t>
      </w:r>
    </w:p>
    <w:p>
      <w:pPr>
        <w:spacing w:after="60" w:before="300"/>
      </w:pPr>
      <w:r>
        <w:rPr>
          <w:rFonts w:ascii="Calibri" w:cs="Calibri" w:eastAsia="Calibri" w:hAnsi="Calibri"/>
          <w:b/>
          <w:bCs/>
          <w:color w:val="1F3864"/>
          <w:sz w:val="21"/>
          <w:szCs w:val="21"/>
        </w:rPr>
        <w:t xml:space="preserve">SUPPLIER</w:t>
      </w:r>
    </w:p>
    <w:p>
      <w:pPr>
        <w:spacing w:after="40"/>
      </w:pPr>
      <w:r>
        <w:rPr>
          <w:rFonts w:ascii="Calibri" w:cs="Calibri" w:eastAsia="Calibri" w:hAnsi="Calibri"/>
          <w:sz w:val="21"/>
          <w:szCs w:val="21"/>
        </w:rPr>
        <w:t xml:space="preserve">Delta_Logistics</w:t>
      </w:r>
    </w:p>
    <w:p>
      <w:pPr>
        <w:spacing w:after="40"/>
      </w:pPr>
      <w:r>
        <w:rPr>
          <w:rFonts w:ascii="Calibri" w:cs="Calibri" w:eastAsia="Calibri" w:hAnsi="Calibri"/>
          <w:color w:val="44546A"/>
          <w:sz w:val="20"/>
          <w:szCs w:val="20"/>
        </w:rPr>
        <w:t xml:space="preserve">750 Harbor Industrial Boulevard, Charleston, South Carolina 29405</w:t>
      </w:r>
    </w:p>
    <w:p>
      <w:pPr>
        <w:spacing w:after="40" w:before="300"/>
      </w:pPr>
      <w:r>
        <w:rPr>
          <w:rFonts w:ascii="Calibri" w:cs="Calibri" w:eastAsia="Calibri" w:hAnsi="Calibri"/>
          <w:sz w:val="20"/>
          <w:szCs w:val="20"/>
        </w:rPr>
        <w:t xml:space="preserve">Signature: ______________________________</w:t>
      </w:r>
    </w:p>
    <w:p>
      <w:pPr>
        <w:spacing w:after="40"/>
      </w:pPr>
      <w:r>
        <w:rPr>
          <w:rFonts w:ascii="Calibri" w:cs="Calibri" w:eastAsia="Calibri" w:hAnsi="Calibri"/>
          <w:sz w:val="20"/>
          <w:szCs w:val="20"/>
        </w:rPr>
        <w:t xml:space="preserve">Name: __________________________________</w:t>
      </w:r>
    </w:p>
    <w:p>
      <w:pPr>
        <w:spacing w:after="40"/>
      </w:pPr>
      <w:r>
        <w:rPr>
          <w:rFonts w:ascii="Calibri" w:cs="Calibri" w:eastAsia="Calibri" w:hAnsi="Calibri"/>
          <w:sz w:val="20"/>
          <w:szCs w:val="20"/>
        </w:rPr>
        <w:t xml:space="preserve">Title: ___________________________________</w:t>
      </w:r>
    </w:p>
    <w:p>
      <w:pPr>
        <w:spacing w:after="200"/>
      </w:pPr>
      <w:r>
        <w:rPr>
          <w:rFonts w:ascii="Calibri" w:cs="Calibri" w:eastAsia="Calibri" w:hAnsi="Calibri"/>
          <w:sz w:val="20"/>
          <w:szCs w:val="20"/>
        </w:rPr>
        <w:t xml:space="preserve">Date: ___________________________________</w:t>
      </w:r>
    </w:p>
    <w:sectPr>
      <w:headerReference w:type="default" r:id="rId9"/>
      <w:footerReference w:type="default" r:id="rId10"/>
      <w:pgSz w:w="12240" w:h="15840" w:orient="portrait"/>
      <w:pgMar w:top="1080" w:right="1260" w:bottom="1080" w:left="126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right" w:pos="9026"/>
      </w:tabs>
    </w:pPr>
    <w:r>
      <w:rPr>
        <w:rFonts w:ascii="Calibri" w:cs="Calibri" w:eastAsia="Calibri" w:hAnsi="Calibri"/>
        <w:color w:val="44546A"/>
        <w:sz w:val="16"/>
        <w:szCs w:val="16"/>
      </w:rPr>
      <w:t xml:space="preserve">Document ID: NML-SC-DELTA-2026-003</w:t>
    </w:r>
    <w:r>
      <w:rPr>
        <w:rFonts w:ascii="Calibri" w:cs="Calibri" w:eastAsia="Calibri" w:hAnsi="Calibri"/>
        <w:color w:val="44546A"/>
        <w:sz w:val="16"/>
        <w:szCs w:val="16"/>
      </w:rPr>
      <w:t xml:space="preserve">	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right" w:pos="9026"/>
      </w:tabs>
    </w:pPr>
    <w:r>
      <w:rPr>
        <w:rFonts w:ascii="Calibri" w:cs="Calibri" w:eastAsia="Calibri" w:hAnsi="Calibri"/>
        <w:color w:val="44546A"/>
        <w:sz w:val="16"/>
        <w:szCs w:val="16"/>
      </w:rPr>
      <w:t xml:space="preserve">Document ID: NML-SC-DELTA-2026-003</w:t>
    </w:r>
    <w:r>
      <w:rPr>
        <w:rFonts w:ascii="Calibri" w:cs="Calibri" w:eastAsia="Calibri" w:hAnsi="Calibri"/>
        <w:color w:val="44546A"/>
        <w:sz w:val="16"/>
        <w:szCs w:val="16"/>
      </w:rPr>
      <w:t xml:space="preserve">	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rFonts w:ascii="Calibri" w:cs="Calibri" w:eastAsia="Calibri" w:hAnsi="Calibri"/>
        <w:b/>
        <w:bCs/>
        <w:color w:val="1F3864"/>
        <w:sz w:val="18"/>
        <w:szCs w:val="18"/>
      </w:rPr>
      <w:t xml:space="preserve">Nova Manufacturing Ltd.</w:t>
    </w:r>
    <w:r>
      <w:rPr>
        <w:rFonts w:ascii="Calibri" w:cs="Calibri" w:eastAsia="Calibri" w:hAnsi="Calibri"/>
        <w:i/>
        <w:iCs/>
        <w:color w:val="44546A"/>
        <w:sz w:val="18"/>
        <w:szCs w:val="18"/>
      </w:rPr>
      <w:t xml:space="preserve">	Supplier Contract — Delta_Logistics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rFonts w:ascii="Calibri" w:cs="Calibri" w:eastAsia="Calibri" w:hAnsi="Calibri"/>
        <w:b/>
        <w:bCs/>
        <w:color w:val="1F3864"/>
        <w:sz w:val="18"/>
        <w:szCs w:val="18"/>
      </w:rPr>
      <w:t xml:space="preserve">Nova Manufacturing Ltd.</w:t>
    </w:r>
    <w:r>
      <w:rPr>
        <w:rFonts w:ascii="Calibri" w:cs="Calibri" w:eastAsia="Calibri" w:hAnsi="Calibri"/>
        <w:i/>
        <w:iCs/>
        <w:color w:val="44546A"/>
        <w:sz w:val="18"/>
        <w:szCs w:val="18"/>
      </w:rPr>
      <w:t xml:space="preserve">	Supplier Contract — Delta_Logistics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2026-07-19T17:34:41.704Z</dcterms:created>
  <dcterms:modified xsi:type="dcterms:W3CDTF">2026-07-19T17:34:41.704Z</dcterms:modified>
</cp:coreProperties>
</file>

<file path=docProps/custom.xml><?xml version="1.0" encoding="utf-8"?>
<Properties xmlns="http://schemas.openxmlformats.org/officeDocument/2006/custom-properties" xmlns:vt="http://schemas.openxmlformats.org/officeDocument/2006/docPropsVTypes"/>
</file>