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pBdr>
          <w:top w:val="single" w:color="1F3864" w:sz="12" w:space="8"/>
          <w:bottom w:val="single" w:color="1F3864" w:sz="12" w:space="8"/>
          <w:left w:val="single" w:color="1F3864" w:sz="12" w:space="8"/>
          <w:right w:val="single" w:color="1F3864" w:sz="12" w:space="8"/>
        </w:pBdr>
        <w:spacing w:after="200"/>
        <w:jc w:val="center"/>
      </w:pPr>
      <w:r>
        <w:rPr>
          <w:rFonts w:ascii="Calibri" w:cs="Calibri" w:eastAsia="Calibri" w:hAnsi="Calibri"/>
          <w:b/>
          <w:bCs/>
          <w:color w:val="1F3864"/>
          <w:sz w:val="20"/>
          <w:szCs w:val="20"/>
        </w:rPr>
        <w:t xml:space="preserve">[ NOVA MANUFACTURING LTD. — COMPANY LOGO ]</w:t>
      </w:r>
    </w:p>
    <w:p>
      <w:pPr>
        <w:spacing w:after="200" w:before="600"/>
        <w:jc w:val="center"/>
      </w:pPr>
      <w:r>
        <w:rPr>
          <w:rFonts w:ascii="Calibri" w:cs="Calibri" w:eastAsia="Calibri" w:hAnsi="Calibri"/>
          <w:b/>
          <w:bCs/>
          <w:color w:val="1F3864"/>
          <w:sz w:val="40"/>
          <w:szCs w:val="40"/>
        </w:rPr>
        <w:t xml:space="preserve">Nova Manufacturing Ltd.</w:t>
      </w:r>
    </w:p>
    <w:p>
      <w:pPr>
        <w:spacing w:after="100"/>
        <w:jc w:val="center"/>
      </w:pPr>
      <w:r>
        <w:rPr>
          <w:rFonts w:ascii="Calibri" w:cs="Calibri" w:eastAsia="Calibri" w:hAnsi="Calibri"/>
          <w:b/>
          <w:bCs/>
          <w:color w:val="44546A"/>
          <w:sz w:val="32"/>
          <w:szCs w:val="32"/>
        </w:rPr>
        <w:t xml:space="preserve">Supplier Contract — Epsilon_Group</w:t>
      </w:r>
    </w:p>
    <w:p>
      <w:pPr>
        <w:spacing w:after="600"/>
        <w:jc w:val="center"/>
      </w:pPr>
      <w:r>
        <w:rPr>
          <w:rFonts w:ascii="Calibri" w:cs="Calibri" w:eastAsia="Calibri" w:hAnsi="Calibri"/>
          <w:i/>
          <w:iCs/>
          <w:color w:val="44546A"/>
          <w:sz w:val="24"/>
          <w:szCs w:val="24"/>
        </w:rPr>
        <w:t xml:space="preserve">Master Supply Agreement for Metal and Polymer Raw Materials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ID:</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NML-SC-EPSILON-2026-004</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Version: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1.0</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Issue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January 1,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Revision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January 1,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Owner:</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Procurement Manager — Raw Materials Category</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Classification: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Confidential — Contains Commercial Terms</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Supplier Name: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Epsilon_Group</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Contract Status:</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Active</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Expiration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December 31, 2028</w:t>
            </w:r>
          </w:p>
        </w:tc>
      </w:tr>
    </w:tbl>
    <w:p>
      <w:r>
        <w:br w:type="page"/>
      </w:r>
    </w:p>
    <w:p>
      <w:pPr>
        <w:sectPr>
          <w:headerReference w:type="default" r:id="rId7"/>
          <w:footerReference w:type="default" r:id="rId8"/>
          <w:pgSz w:w="12240" w:h="15840" w:orient="portrait"/>
          <w:pgMar w:top="1080" w:right="1260" w:bottom="1080" w:left="1260" w:header="708" w:footer="708" w:gutter="0"/>
          <w:pgNumType/>
          <w:titlePg w:val="false"/>
          <w:docGrid w:linePitch="360"/>
        </w:sectPr>
      </w:pPr>
    </w:p>
    <w:p>
      <w:pPr>
        <w:pStyle w:val="Heading1"/>
        <w:pBdr>
          <w:bottom w:val="single" w:color="D9D9D9" w:sz="6" w:space="4"/>
        </w:pBdr>
        <w:spacing w:after="150" w:before="300"/>
      </w:pPr>
      <w:r>
        <w:rPr>
          <w:rFonts w:ascii="Calibri" w:cs="Calibri" w:eastAsia="Calibri" w:hAnsi="Calibri"/>
          <w:b/>
          <w:bCs/>
          <w:color w:val="1F3864"/>
          <w:sz w:val="28"/>
          <w:szCs w:val="28"/>
        </w:rPr>
        <w:t xml:space="preserve">1. Contract Identification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Field</w:t>
            </w:r>
          </w:p>
        </w:tc>
        <w:tc>
          <w:tcPr>
            <w:tcW w:type="dxa" w:w="6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Detail</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Contract Number</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NML-SC-EPSILON-2026-004</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Contract Status</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Active</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Effective Date</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January 1, 2026</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Expiration Date</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December 31, 2028</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Initial Term</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36 months (January 1, 2026 through December 31, 2028)</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Renewal</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Automatic 12-month renewal unless either party provides 120 days' written notice of non-renewal</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Category</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Raw Materials — Steel Coil, Aluminum Sheet, Alloy Bar Stock, Engineering Resin</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Version</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w:t>
            </w:r>
          </w:p>
        </w:tc>
      </w:tr>
    </w:tbl>
    <w:p>
      <w:pPr>
        <w:pStyle w:val="Heading1"/>
        <w:pBdr>
          <w:bottom w:val="single" w:color="D9D9D9" w:sz="6" w:space="4"/>
        </w:pBdr>
        <w:spacing w:after="150" w:before="300"/>
      </w:pPr>
      <w:r>
        <w:rPr>
          <w:rFonts w:ascii="Calibri" w:cs="Calibri" w:eastAsia="Calibri" w:hAnsi="Calibri"/>
          <w:b/>
          <w:bCs/>
          <w:color w:val="1F3864"/>
          <w:sz w:val="28"/>
          <w:szCs w:val="28"/>
        </w:rPr>
        <w:t xml:space="preserve">2. Parties</w:t>
      </w:r>
    </w:p>
    <w:p>
      <w:pPr>
        <w:spacing w:after="140" w:line="276"/>
        <w:jc w:val="both"/>
      </w:pPr>
      <w:r>
        <w:rPr>
          <w:rFonts w:ascii="Calibri" w:cs="Calibri" w:eastAsia="Calibri" w:hAnsi="Calibri"/>
          <w:color w:val="222222"/>
          <w:sz w:val="21"/>
          <w:szCs w:val="21"/>
        </w:rPr>
        <w:t xml:space="preserve">This Master Supply Agreement ("Agreement") is entered into as of January 1, 2026 (the "Effective Date") by and between:</w:t>
      </w:r>
    </w:p>
    <w:p>
      <w:pPr>
        <w:spacing w:after="140" w:line="276"/>
        <w:jc w:val="both"/>
      </w:pPr>
      <w:r>
        <w:rPr>
          <w:rFonts w:ascii="Calibri" w:cs="Calibri" w:eastAsia="Calibri" w:hAnsi="Calibri"/>
          <w:color w:val="222222"/>
          <w:sz w:val="21"/>
          <w:szCs w:val="21"/>
        </w:rPr>
        <w:t xml:space="preserve">Nova Manufacturing Ltd., a corporation organized under the laws of the State of Delaware, with its principal manufacturing facility at 1200 Foundry Road, Akron, Ohio 44301 ("Buyer" or "Nova Manufacturing"); and</w:t>
      </w:r>
    </w:p>
    <w:p>
      <w:pPr>
        <w:spacing w:after="140" w:line="276"/>
        <w:jc w:val="both"/>
      </w:pPr>
      <w:r>
        <w:rPr>
          <w:rFonts w:ascii="Calibri" w:cs="Calibri" w:eastAsia="Calibri" w:hAnsi="Calibri"/>
          <w:color w:val="222222"/>
          <w:sz w:val="21"/>
          <w:szCs w:val="21"/>
        </w:rPr>
        <w:t xml:space="preserve">Epsilon_Group, a corporation organized under the laws of the State of Indiana, with its principal mill and processing facility at 900 Furnace Row, Gary, Indiana 46402 ("Supplier" or "Epsilon_Group").</w:t>
      </w:r>
    </w:p>
    <w:p>
      <w:pPr>
        <w:spacing w:after="140" w:line="276"/>
        <w:jc w:val="both"/>
      </w:pPr>
      <w:r>
        <w:rPr>
          <w:rFonts w:ascii="Calibri" w:cs="Calibri" w:eastAsia="Calibri" w:hAnsi="Calibri"/>
          <w:color w:val="222222"/>
          <w:sz w:val="21"/>
          <w:szCs w:val="21"/>
        </w:rPr>
        <w:t xml:space="preserve">Buyer and Supplier may each be referred to individually as a "Party" and collectively as the "Parties." This Agreement is Active as of the Effective Date and shall remain in full force and effect through the Expiration Date stated above, unless earlier terminated in accordance with Section 12.</w:t>
      </w:r>
    </w:p>
    <w:p>
      <w:pPr>
        <w:pStyle w:val="Heading1"/>
        <w:pBdr>
          <w:bottom w:val="single" w:color="D9D9D9" w:sz="6" w:space="4"/>
        </w:pBdr>
        <w:spacing w:after="150" w:before="300"/>
      </w:pPr>
      <w:r>
        <w:rPr>
          <w:rFonts w:ascii="Calibri" w:cs="Calibri" w:eastAsia="Calibri" w:hAnsi="Calibri"/>
          <w:b/>
          <w:bCs/>
          <w:color w:val="1F3864"/>
          <w:sz w:val="28"/>
          <w:szCs w:val="28"/>
        </w:rPr>
        <w:t xml:space="preserve">3. Scope of Supply</w:t>
      </w:r>
    </w:p>
    <w:p>
      <w:pPr>
        <w:spacing w:after="140" w:line="276"/>
        <w:jc w:val="both"/>
      </w:pPr>
      <w:r>
        <w:rPr>
          <w:rFonts w:ascii="Calibri" w:cs="Calibri" w:eastAsia="Calibri" w:hAnsi="Calibri"/>
          <w:color w:val="222222"/>
          <w:sz w:val="21"/>
          <w:szCs w:val="21"/>
        </w:rPr>
        <w:t xml:space="preserve">Supplier shall mill, process, certify, and supply to Buyer the metal and polymer raw materials identified in Section 4 (the "Materials") for use as direct inputs into Buyer's manufacturing processes at its Akron, Ohio facility, in the quantities and at the times specified in individual Purchase Orders and Buyer's rolling 26-week raw material forecast issued under this Agreement. This Agreement establishes the general commercial and legal framework governing all such Purchase Orders; in the event of a conflict between this Agreement and a specific Purchase Order, this Agreement shall govern unless the Purchase Order expressly states an intent to deviate and is countersigned by both Parties.</w:t>
      </w:r>
    </w:p>
    <w:p>
      <w:pPr>
        <w:pStyle w:val="Heading1"/>
        <w:pBdr>
          <w:bottom w:val="single" w:color="D9D9D9" w:sz="6" w:space="4"/>
        </w:pBdr>
        <w:spacing w:after="150" w:before="300"/>
      </w:pPr>
      <w:r>
        <w:rPr>
          <w:rFonts w:ascii="Calibri" w:cs="Calibri" w:eastAsia="Calibri" w:hAnsi="Calibri"/>
          <w:b/>
          <w:bCs/>
          <w:color w:val="1F3864"/>
          <w:sz w:val="28"/>
          <w:szCs w:val="28"/>
        </w:rPr>
        <w:t xml:space="preserve">4. Materials and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Material Code</w:t>
            </w:r>
          </w:p>
        </w:tc>
        <w:tc>
          <w:tcPr>
            <w:tcW w:type="dxa" w:w="3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Key Specification</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RM-HRS-050</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Hot-Rolled Steel Coil, 0.250" thickness, 60" width</w:t>
            </w:r>
          </w:p>
        </w:tc>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ASTM A1011 Grade 50; min. yield strength 50 ksi</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RM-ALS-063</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Aluminum Sheet, 0.063" thickness, 5052-H32 temper</w:t>
            </w:r>
          </w:p>
        </w:tc>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ASTM B209; tensile strength 33–41 ksi</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RM-ABS-100</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Alloy Steel Round Bar, 1.00" diameter, 4140 annealed</w:t>
            </w:r>
          </w:p>
        </w:tc>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ASTM A29; Brinell hardness 187–229 HB</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RM-PLY-025</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Engineering Resin Pellets, Nylon 6/6 (PA66), 25kg bag</w:t>
            </w:r>
          </w:p>
        </w:tc>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ASTM D4066; moisture content ≤ 0.20% at delivery</w:t>
            </w:r>
          </w:p>
        </w:tc>
      </w:tr>
    </w:tbl>
    <w:p>
      <w:pPr>
        <w:spacing w:after="140" w:line="276"/>
        <w:jc w:val="both"/>
      </w:pPr>
      <w:r>
        <w:rPr>
          <w:rFonts w:ascii="Calibri" w:cs="Calibri" w:eastAsia="Calibri" w:hAnsi="Calibri"/>
          <w:color w:val="222222"/>
          <w:sz w:val="21"/>
          <w:szCs w:val="21"/>
        </w:rPr>
        <w:t xml:space="preserve">All Materials shall conform to the chemical composition, mechanical property, and dimensional tolerances referenced in the applicable Purchase Order and to Buyer's Materials Engineering Specification Sheets as revised from time to time and communicated in writing to Supplier no less than 45 days prior to a specification change taking effect on open orders. Supplier shall provide a Mill Test Certificate (MTC) conforming to EN 10204 Type 3.1 with every shipment of metal Materials, and a Certificate of Analysis (CoA) with every shipment of resin Materials.</w:t>
      </w:r>
    </w:p>
    <w:p>
      <w:pPr>
        <w:pStyle w:val="Heading1"/>
        <w:pBdr>
          <w:bottom w:val="single" w:color="D9D9D9" w:sz="6" w:space="4"/>
        </w:pBdr>
        <w:spacing w:after="150" w:before="300"/>
      </w:pPr>
      <w:r>
        <w:rPr>
          <w:rFonts w:ascii="Calibri" w:cs="Calibri" w:eastAsia="Calibri" w:hAnsi="Calibri"/>
          <w:b/>
          <w:bCs/>
          <w:color w:val="1F3864"/>
          <w:sz w:val="28"/>
          <w:szCs w:val="28"/>
        </w:rPr>
        <w:t xml:space="preserve">5. Pricing</w:t>
      </w:r>
    </w:p>
    <w:p>
      <w:pPr>
        <w:spacing w:after="140" w:line="276"/>
        <w:jc w:val="both"/>
      </w:pPr>
      <w:r>
        <w:rPr>
          <w:rFonts w:ascii="Calibri" w:cs="Calibri" w:eastAsia="Calibri" w:hAnsi="Calibri"/>
          <w:color w:val="222222"/>
          <w:sz w:val="21"/>
          <w:szCs w:val="21"/>
        </w:rPr>
        <w:t xml:space="preserve">Base unit pricing is fixed for the Initial Term as set forth below, subject to the price adjustment mechanism in Section 5.1. All prices are stated in United States Dollars (USD) and exclude applicable sales, use, or excise taxes, which shall be stated separately on Supplier's invoices.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18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Material Code</w:t>
            </w:r>
          </w:p>
        </w:tc>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Base Unit Price (USD)</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Minimum Order Qty</w:t>
            </w:r>
          </w:p>
        </w:tc>
        <w:tc>
          <w:tcPr>
            <w:tcW w:type="dxa" w:w="1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Volume Rebate</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RM-HRS-050</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$47.25 / cwt</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20 tons</w:t>
            </w:r>
          </w:p>
        </w:tc>
        <w:tc>
          <w:tcPr>
            <w:tcW w:type="dxa" w:w="18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4% at 150+ tons/qtr</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RM-ALS-063</w:t>
            </w:r>
          </w:p>
        </w:tc>
        <w:tc>
          <w:tcPr>
            <w:tcW w:type="dxa" w:w="26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$1.92 / lb</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10,000 lb</w:t>
            </w:r>
          </w:p>
        </w:tc>
        <w:tc>
          <w:tcPr>
            <w:tcW w:type="dxa" w:w="18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 at 60,000+ lb/qtr</w:t>
            </w:r>
          </w:p>
        </w:tc>
      </w:tr>
      <w:tr>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RM-ABS-100</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$1.34 / lb</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5,000 lb</w:t>
            </w:r>
          </w:p>
        </w:tc>
        <w:tc>
          <w:tcPr>
            <w:tcW w:type="dxa" w:w="18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 at 30,000+ lb/qtr</w:t>
            </w:r>
          </w:p>
        </w:tc>
      </w:tr>
      <w:tr>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RM-PLY-025</w:t>
            </w:r>
          </w:p>
        </w:tc>
        <w:tc>
          <w:tcPr>
            <w:tcW w:type="dxa" w:w="26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$3.35 / kg</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2,000 kg</w:t>
            </w:r>
          </w:p>
        </w:tc>
        <w:tc>
          <w:tcPr>
            <w:tcW w:type="dxa" w:w="18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6% at 12,000+ kg/qtr</w:t>
            </w:r>
          </w:p>
        </w:tc>
      </w:tr>
    </w:tbl>
    <w:p>
      <w:pPr>
        <w:pStyle w:val="Heading2"/>
        <w:spacing w:after="120" w:before="240"/>
      </w:pPr>
      <w:r>
        <w:rPr>
          <w:rFonts w:ascii="Calibri" w:cs="Calibri" w:eastAsia="Calibri" w:hAnsi="Calibri"/>
          <w:b/>
          <w:bCs/>
          <w:color w:val="44546A"/>
          <w:sz w:val="24"/>
          <w:szCs w:val="24"/>
        </w:rPr>
        <w:t xml:space="preserve">5.1 Price Adjustment Mechanism</w:t>
      </w:r>
    </w:p>
    <w:p>
      <w:pPr>
        <w:spacing w:after="140" w:line="276"/>
        <w:jc w:val="both"/>
      </w:pPr>
      <w:r>
        <w:rPr>
          <w:rFonts w:ascii="Calibri" w:cs="Calibri" w:eastAsia="Calibri" w:hAnsi="Calibri"/>
          <w:color w:val="222222"/>
          <w:sz w:val="21"/>
          <w:szCs w:val="21"/>
        </w:rPr>
        <w:t xml:space="preserve">Base unit pricing for steel and aluminum Materials shall be indexed quarterly to the CRU Steel Price Index (hot-rolled coil, Midwest) and the LME (London Metal Exchange) aluminum settlement price, respectively, with adjustments capped at plus or minus 8% per quarter. Resin pricing may be adjusted no more than once per 12-month period upon 60 days' written notice from Supplier, to reflect documented increases in petrochemical feedstock (caprolactam) costs exceeding 6%. All index-based adjustments shall be calculated using the average closing index value over the 30 calendar days preceding the adjustment date and confirmed in writing by Supplier prior to invoicing at the adjusted rate.</w:t>
      </w:r>
    </w:p>
    <w:p>
      <w:pPr>
        <w:pStyle w:val="Heading1"/>
        <w:pBdr>
          <w:bottom w:val="single" w:color="D9D9D9" w:sz="6" w:space="4"/>
        </w:pBdr>
        <w:spacing w:after="150" w:before="300"/>
      </w:pPr>
      <w:r>
        <w:rPr>
          <w:rFonts w:ascii="Calibri" w:cs="Calibri" w:eastAsia="Calibri" w:hAnsi="Calibri"/>
          <w:b/>
          <w:bCs/>
          <w:color w:val="1F3864"/>
          <w:sz w:val="28"/>
          <w:szCs w:val="28"/>
        </w:rPr>
        <w:t xml:space="preserve">6. Delivery Terms</w:t>
      </w:r>
    </w:p>
    <w:p>
      <w:pPr>
        <w:spacing w:after="140" w:line="276"/>
        <w:jc w:val="both"/>
      </w:pPr>
      <w:r>
        <w:rPr>
          <w:rFonts w:ascii="Calibri" w:cs="Calibri" w:eastAsia="Calibri" w:hAnsi="Calibri"/>
          <w:color w:val="222222"/>
          <w:sz w:val="21"/>
          <w:szCs w:val="21"/>
        </w:rPr>
        <w:t xml:space="preserve">Standard mill lead time is thirty (30) calendar days from Supplier's written order acknowledgment for standard-specification coil, bar, and resin Materials. Expedited lead time of twenty (20) calendar days is available for up to 15% of any calendar quarter's order volume at a 12% expedite premium, subject to Supplier's written confirmation of open mill capacity. Non-standard widths, gauges, or alloy chemistries requiring a dedicated mill run are subject to a minimum lead time of 55 calendar days.</w:t>
      </w:r>
    </w:p>
    <w:p>
      <w:pPr>
        <w:pStyle w:val="Heading2"/>
        <w:spacing w:after="120" w:before="240"/>
      </w:pPr>
      <w:r>
        <w:rPr>
          <w:rFonts w:ascii="Calibri" w:cs="Calibri" w:eastAsia="Calibri" w:hAnsi="Calibri"/>
          <w:b/>
          <w:bCs/>
          <w:color w:val="44546A"/>
          <w:sz w:val="24"/>
          <w:szCs w:val="24"/>
        </w:rPr>
        <w:t xml:space="preserve">6.1 Incoterms</w:t>
      </w:r>
    </w:p>
    <w:p>
      <w:pPr>
        <w:spacing w:after="140" w:line="276"/>
        <w:jc w:val="both"/>
      </w:pPr>
      <w:r>
        <w:rPr>
          <w:rFonts w:ascii="Calibri" w:cs="Calibri" w:eastAsia="Calibri" w:hAnsi="Calibri"/>
          <w:color w:val="222222"/>
          <w:sz w:val="21"/>
          <w:szCs w:val="21"/>
        </w:rPr>
        <w:t xml:space="preserve">Delivery shall be governed by EXW (Ex Works) Supplier's Gary, Indiana mill, Incoterms® 2020, unless a specific Purchase Order specifies otherwise. Buyer shall be responsible for arranging and bearing the cost of all transportation, loading (beyond making the Materials available for collection), insurance, and risk of loss from the point of collection at Supplier's facility.</w:t>
      </w:r>
    </w:p>
    <w:p>
      <w:pPr>
        <w:pStyle w:val="Heading1"/>
        <w:pBdr>
          <w:bottom w:val="single" w:color="D9D9D9" w:sz="6" w:space="4"/>
        </w:pBdr>
        <w:spacing w:after="150" w:before="300"/>
      </w:pPr>
      <w:r>
        <w:rPr>
          <w:rFonts w:ascii="Calibri" w:cs="Calibri" w:eastAsia="Calibri" w:hAnsi="Calibri"/>
          <w:b/>
          <w:bCs/>
          <w:color w:val="1F3864"/>
          <w:sz w:val="28"/>
          <w:szCs w:val="28"/>
        </w:rPr>
        <w:t xml:space="preserve">7. Payment Terms</w:t>
      </w:r>
    </w:p>
    <w:p>
      <w:pPr>
        <w:spacing w:after="140" w:line="276"/>
        <w:jc w:val="both"/>
      </w:pPr>
      <w:r>
        <w:rPr>
          <w:rFonts w:ascii="Calibri" w:cs="Calibri" w:eastAsia="Calibri" w:hAnsi="Calibri"/>
          <w:color w:val="222222"/>
          <w:sz w:val="21"/>
          <w:szCs w:val="21"/>
        </w:rPr>
        <w:t xml:space="preserve">Payment terms are Net 45 days from the date of Supplier's invoice, provided the invoice matches the Purchase Order and the Goods Receipt Note within Buyer's standard 2% tolerance (reflecting normal mill-run weight variance). Supplier offers an early payment discount of 0.5% if payment is remitted within 15 days of the invoice date (0.5%/15 Net 45). In addition to the early payment discount, Supplier shall issue a quarterly volume rebate per the schedule in Section 5 where Buyer's trailing-quarter purchase volume for a given Material exceeds the stated threshold. Invoices shall be submitted electronically to accountspayable@novamanufacturing-example.com and shall reference the applicable Purchase Order number and heat/lot number.</w:t>
      </w:r>
    </w:p>
    <w:p>
      <w:pPr>
        <w:pStyle w:val="Heading1"/>
        <w:pBdr>
          <w:bottom w:val="single" w:color="D9D9D9" w:sz="6" w:space="4"/>
        </w:pBdr>
        <w:spacing w:after="150" w:before="300"/>
      </w:pPr>
      <w:r>
        <w:rPr>
          <w:rFonts w:ascii="Calibri" w:cs="Calibri" w:eastAsia="Calibri" w:hAnsi="Calibri"/>
          <w:b/>
          <w:bCs/>
          <w:color w:val="1F3864"/>
          <w:sz w:val="28"/>
          <w:szCs w:val="28"/>
        </w:rPr>
        <w:t xml:space="preserve">8. Quality Standards</w:t>
      </w:r>
    </w:p>
    <w:p>
      <w:pPr>
        <w:spacing w:after="140" w:line="276"/>
        <w:jc w:val="both"/>
      </w:pPr>
      <w:r>
        <w:rPr>
          <w:rFonts w:ascii="Calibri" w:cs="Calibri" w:eastAsia="Calibri" w:hAnsi="Calibri"/>
          <w:color w:val="222222"/>
          <w:sz w:val="21"/>
          <w:szCs w:val="21"/>
        </w:rPr>
        <w:t xml:space="preserve">Supplier shall maintain, throughout the Term, certification to ISO 9001:2015 and shall ensure that all metal Materials conform to the applicable ASTM specifications identified in Section 4, with full chemical composition and mechanical property data reported on each Mill Test Certificate. Resin Materials shall be manufactured and packaged in a manner that maintains compliance with RoHS 2011/65/EU and REACH declarations where the resulting finished goods are destined for markets subject to those regulations. Supplier shall maintain full heat-lot traceability for all metal Materials for a minimum of ten (10) years from the date of shipment.</w:t>
      </w:r>
    </w:p>
    <w:p>
      <w:pPr>
        <w:pStyle w:val="Heading1"/>
        <w:pBdr>
          <w:bottom w:val="single" w:color="D9D9D9" w:sz="6" w:space="4"/>
        </w:pBdr>
        <w:spacing w:after="150" w:before="300"/>
      </w:pPr>
      <w:r>
        <w:rPr>
          <w:rFonts w:ascii="Calibri" w:cs="Calibri" w:eastAsia="Calibri" w:hAnsi="Calibri"/>
          <w:b/>
          <w:bCs/>
          <w:color w:val="1F3864"/>
          <w:sz w:val="28"/>
          <w:szCs w:val="28"/>
        </w:rPr>
        <w:t xml:space="preserve">9. Inspection</w:t>
      </w:r>
    </w:p>
    <w:p>
      <w:pPr>
        <w:spacing w:after="140" w:line="276"/>
        <w:jc w:val="both"/>
      </w:pPr>
      <w:r>
        <w:rPr>
          <w:rFonts w:ascii="Calibri" w:cs="Calibri" w:eastAsia="Calibri" w:hAnsi="Calibri"/>
          <w:color w:val="222222"/>
          <w:sz w:val="21"/>
          <w:szCs w:val="21"/>
        </w:rPr>
        <w:t xml:space="preserve">Buyer shall perform incoming inspection on all shipments, including dimensional verification, visual surface inspection, and periodic independent laboratory verification of Mill Test Certificate data (at a minimum frequency of one verification per 20 shipments per Material), in accordance with ASTM A700 (steel) and ASTM B660 (aluminum) sampling guidance as applicable. Buyer shall notify Supplier of any nonconformance, including any MTC data discrepancy, within ten (10) business days of receipt. Buyer reserves the right to reject and return, at Supplier's expense, any lot failing to conform to the certified specification, and Supplier shall replace rejected Materials within fifteen (15) calendar days of notification at no additional cost to Buyer.</w:t>
      </w:r>
    </w:p>
    <w:p>
      <w:pPr>
        <w:pStyle w:val="Heading1"/>
        <w:pBdr>
          <w:bottom w:val="single" w:color="D9D9D9" w:sz="6" w:space="4"/>
        </w:pBdr>
        <w:spacing w:after="150" w:before="300"/>
      </w:pPr>
      <w:r>
        <w:rPr>
          <w:rFonts w:ascii="Calibri" w:cs="Calibri" w:eastAsia="Calibri" w:hAnsi="Calibri"/>
          <w:b/>
          <w:bCs/>
          <w:color w:val="1F3864"/>
          <w:sz w:val="28"/>
          <w:szCs w:val="28"/>
        </w:rPr>
        <w:t xml:space="preserve">10. Warranty</w:t>
      </w:r>
    </w:p>
    <w:p>
      <w:pPr>
        <w:spacing w:after="140" w:line="276"/>
        <w:jc w:val="both"/>
      </w:pPr>
      <w:r>
        <w:rPr>
          <w:rFonts w:ascii="Calibri" w:cs="Calibri" w:eastAsia="Calibri" w:hAnsi="Calibri"/>
          <w:color w:val="222222"/>
          <w:sz w:val="21"/>
          <w:szCs w:val="21"/>
        </w:rPr>
        <w:t xml:space="preserve">Supplier warrants that all Materials shall conform to the chemical composition and mechanical properties stated on the accompanying Mill Test Certificate or Certificate of Analysis, and shall be free from material defects, for a period of six (6) months from the date of receipt (the "Warranty Period"), or until first productive use by Buyer, whichever occurs first. If any Material is found not to conform to its certified properties during the Warranty Period, Supplier shall, at Buyer's option, replace the nonconforming Material or issue a full credit, together with reasonable scrap, rework, and downstream processing costs actually incurred by Buyer as a direct result of the nonconformance, up to an aggregate cap of $75,000 per incident. This warranty is in addition to, and not in lieu of, any implied warranties of merchantability and fitness for a particular purpose, which are not disclaimed under this Agreement.</w:t>
      </w:r>
    </w:p>
    <w:p>
      <w:pPr>
        <w:pStyle w:val="Heading1"/>
        <w:pBdr>
          <w:bottom w:val="single" w:color="D9D9D9" w:sz="6" w:space="4"/>
        </w:pBdr>
        <w:spacing w:after="150" w:before="300"/>
      </w:pPr>
      <w:r>
        <w:rPr>
          <w:rFonts w:ascii="Calibri" w:cs="Calibri" w:eastAsia="Calibri" w:hAnsi="Calibri"/>
          <w:b/>
          <w:bCs/>
          <w:color w:val="1F3864"/>
          <w:sz w:val="28"/>
          <w:szCs w:val="28"/>
        </w:rPr>
        <w:t xml:space="preserve">11. Late Delivery Penalty</w:t>
      </w:r>
    </w:p>
    <w:p>
      <w:pPr>
        <w:spacing w:after="140" w:line="276"/>
        <w:jc w:val="both"/>
      </w:pPr>
      <w:r>
        <w:rPr>
          <w:rFonts w:ascii="Calibri" w:cs="Calibri" w:eastAsia="Calibri" w:hAnsi="Calibri"/>
          <w:color w:val="222222"/>
          <w:sz w:val="21"/>
          <w:szCs w:val="21"/>
        </w:rPr>
        <w:t xml:space="preserve">If Supplier fails to deliver Materials within the agreed delivery window (lead time plus a grace period of 4 calendar days), Supplier shall credit Buyer liquidated damages equal to 1.25% of the affected Purchase Order line value per calendar day of delay, up to a maximum of 20% of the affected line value. Liquidated damages under this Section are Buyer's sole and exclusive financial remedy for late delivery, except where late delivery results from Supplier's gross negligence or willful misconduct, or where late delivery persists beyond 25 calendar days, in which case Buyer may additionally cancel the affected Purchase Order without penalty and procure replacement Materials from an alternate source, with Supplier liable for any documented cover-purchase price differential up to $100,000 per incident.</w:t>
      </w:r>
    </w:p>
    <w:p>
      <w:pPr>
        <w:pStyle w:val="Heading1"/>
        <w:pBdr>
          <w:bottom w:val="single" w:color="D9D9D9" w:sz="6" w:space="4"/>
        </w:pBdr>
        <w:spacing w:after="150" w:before="300"/>
      </w:pPr>
      <w:r>
        <w:rPr>
          <w:rFonts w:ascii="Calibri" w:cs="Calibri" w:eastAsia="Calibri" w:hAnsi="Calibri"/>
          <w:b/>
          <w:bCs/>
          <w:color w:val="1F3864"/>
          <w:sz w:val="28"/>
          <w:szCs w:val="28"/>
        </w:rPr>
        <w:t xml:space="preserve">12. Termination</w:t>
      </w:r>
    </w:p>
    <w:p>
      <w:pPr>
        <w:spacing w:after="140" w:line="276"/>
        <w:jc w:val="both"/>
      </w:pPr>
      <w:r>
        <w:rPr>
          <w:rFonts w:ascii="Calibri" w:cs="Calibri" w:eastAsia="Calibri" w:hAnsi="Calibri"/>
          <w:color w:val="222222"/>
          <w:sz w:val="21"/>
          <w:szCs w:val="21"/>
        </w:rPr>
        <w:t xml:space="preserve">Either Party may terminate this Agreement for convenience upon one hundred twenty (120) calendar days' prior written notice, reflecting the extended mill-capacity planning horizon required for raw material sourcing. Either Party may terminate this Agreement for cause immediately upon written notice if the other Party materially breaches this Agreement and fails to cure such breach within thirty (30) calendar days of receiving written notice describing the breach in reasonable detail. Buyer may additionally terminate immediately, without a cure period, if Supplier becomes insolvent, files for bankruptcy protection, or undergoes a change of control that Buyer reasonably determines poses a material risk to supply continuity. Upon termination, Supplier shall complete or, at Buyer's election, cancel all open Purchase Orders, and Buyer shall pay for conforming Materials already milled, processed, or in transit as of the termination date.</w:t>
      </w:r>
    </w:p>
    <w:p>
      <w:pPr>
        <w:pStyle w:val="Heading1"/>
        <w:pBdr>
          <w:bottom w:val="single" w:color="D9D9D9" w:sz="6" w:space="4"/>
        </w:pBdr>
        <w:spacing w:after="150" w:before="300"/>
      </w:pPr>
      <w:r>
        <w:rPr>
          <w:rFonts w:ascii="Calibri" w:cs="Calibri" w:eastAsia="Calibri" w:hAnsi="Calibri"/>
          <w:b/>
          <w:bCs/>
          <w:color w:val="1F3864"/>
          <w:sz w:val="28"/>
          <w:szCs w:val="28"/>
        </w:rPr>
        <w:t xml:space="preserve">13. Force Majeure</w:t>
      </w:r>
    </w:p>
    <w:p>
      <w:pPr>
        <w:spacing w:after="140" w:line="276"/>
        <w:jc w:val="both"/>
      </w:pPr>
      <w:r>
        <w:rPr>
          <w:rFonts w:ascii="Calibri" w:cs="Calibri" w:eastAsia="Calibri" w:hAnsi="Calibri"/>
          <w:color w:val="222222"/>
          <w:sz w:val="21"/>
          <w:szCs w:val="21"/>
        </w:rPr>
        <w:t xml:space="preserve">Neither Party shall be liable for any failure or delay in performance (other than payment obligations) resulting from causes beyond its reasonable control, including but not limited to acts of God, fire, flood, war, terrorism, governmental action, labor disputes, blast furnace or mill outages, or shortages of iron ore, scrap steel, bauxite, or caprolactam feedstock, provided that the affected Party promptly notifies the other Party in writing and uses commercially reasonable efforts to mitigate the impact. If a force majeure event continues for more than 60 consecutive calendar days, either Party may terminate the affected Purchase Order(s) without liability.</w:t>
      </w:r>
    </w:p>
    <w:p>
      <w:pPr>
        <w:pStyle w:val="Heading1"/>
        <w:pBdr>
          <w:bottom w:val="single" w:color="D9D9D9" w:sz="6" w:space="4"/>
        </w:pBdr>
        <w:spacing w:after="150" w:before="300"/>
      </w:pPr>
      <w:r>
        <w:rPr>
          <w:rFonts w:ascii="Calibri" w:cs="Calibri" w:eastAsia="Calibri" w:hAnsi="Calibri"/>
          <w:b/>
          <w:bCs/>
          <w:color w:val="1F3864"/>
          <w:sz w:val="28"/>
          <w:szCs w:val="28"/>
        </w:rPr>
        <w:t xml:space="preserve">14. Confidentiality</w:t>
      </w:r>
    </w:p>
    <w:p>
      <w:pPr>
        <w:spacing w:after="140" w:line="276"/>
        <w:jc w:val="both"/>
      </w:pPr>
      <w:r>
        <w:rPr>
          <w:rFonts w:ascii="Calibri" w:cs="Calibri" w:eastAsia="Calibri" w:hAnsi="Calibri"/>
          <w:color w:val="222222"/>
          <w:sz w:val="21"/>
          <w:szCs w:val="21"/>
        </w:rPr>
        <w:t xml:space="preserve">Each Party shall protect the other Party's confidential information, including pricing, forecasts, material specifications, and business plans, using at least the same degree of care it uses to protect its own confidential information of similar importance, and in no event less than a reasonable standard of care. Confidentiality obligations under this Section shall survive termination or expiration of this Agreement for a period of four (4) years, except that confidential information constituting a trade secret under applicable law (including Buyer's proprietary alloy or resin blend specifications) shall be protected for so long as it retains trade secret status.</w:t>
      </w:r>
    </w:p>
    <w:p>
      <w:pPr>
        <w:pStyle w:val="Heading1"/>
        <w:pBdr>
          <w:bottom w:val="single" w:color="D9D9D9" w:sz="6" w:space="4"/>
        </w:pBdr>
        <w:spacing w:after="150" w:before="300"/>
      </w:pPr>
      <w:r>
        <w:rPr>
          <w:rFonts w:ascii="Calibri" w:cs="Calibri" w:eastAsia="Calibri" w:hAnsi="Calibri"/>
          <w:b/>
          <w:bCs/>
          <w:color w:val="1F3864"/>
          <w:sz w:val="28"/>
          <w:szCs w:val="28"/>
        </w:rPr>
        <w:t xml:space="preserve">15. Dispute Resolution</w:t>
      </w:r>
    </w:p>
    <w:p>
      <w:pPr>
        <w:spacing w:after="140" w:line="276"/>
        <w:jc w:val="both"/>
      </w:pPr>
      <w:r>
        <w:rPr>
          <w:rFonts w:ascii="Calibri" w:cs="Calibri" w:eastAsia="Calibri" w:hAnsi="Calibri"/>
          <w:color w:val="222222"/>
          <w:sz w:val="21"/>
          <w:szCs w:val="21"/>
        </w:rPr>
        <w:t xml:space="preserve">The Parties shall attempt in good faith to resolve any dispute arising out of or relating to this Agreement through direct negotiation between designated representatives within 20 business days of written notice of the dispute. If the dispute is not resolved through negotiation, it shall be finally settled by binding arbitration administered by the American Arbitration Association under its Commercial Arbitration Rules, with the arbitration seated in Lake County, Indiana, before a panel of three arbitrators where the amount in dispute exceeds $250,000, or a single arbitrator otherwise. This Agreement shall be governed by the laws of the State of Indiana, without regard to its conflict of laws principles.</w:t>
      </w:r>
    </w:p>
    <w:p>
      <w:pPr>
        <w:pStyle w:val="Heading1"/>
        <w:pBdr>
          <w:bottom w:val="single" w:color="D9D9D9" w:sz="6" w:space="4"/>
        </w:pBdr>
        <w:spacing w:after="150" w:before="300"/>
      </w:pPr>
      <w:r>
        <w:rPr>
          <w:rFonts w:ascii="Calibri" w:cs="Calibri" w:eastAsia="Calibri" w:hAnsi="Calibri"/>
          <w:b/>
          <w:bCs/>
          <w:color w:val="1F3864"/>
          <w:sz w:val="28"/>
          <w:szCs w:val="28"/>
        </w:rPr>
        <w:t xml:space="preserve">16. Signatures</w:t>
      </w:r>
    </w:p>
    <w:p>
      <w:pPr>
        <w:spacing w:after="100"/>
      </w:pPr>
      <w:r>
        <w:rPr>
          <w:rFonts w:ascii="Calibri" w:cs="Calibri" w:eastAsia="Calibri" w:hAnsi="Calibri"/>
          <w:i/>
          <w:iCs/>
          <w:sz w:val="21"/>
          <w:szCs w:val="21"/>
        </w:rPr>
        <w:t xml:space="preserve">IN WITNESS WHEREOF, the Parties have executed this Agreement as of the Effective Date.</w:t>
      </w:r>
    </w:p>
    <w:p>
      <w:pPr>
        <w:spacing w:after="60" w:before="300"/>
      </w:pPr>
      <w:r>
        <w:rPr>
          <w:rFonts w:ascii="Calibri" w:cs="Calibri" w:eastAsia="Calibri" w:hAnsi="Calibri"/>
          <w:b/>
          <w:bCs/>
          <w:color w:val="1F3864"/>
          <w:sz w:val="21"/>
          <w:szCs w:val="21"/>
        </w:rPr>
        <w:t xml:space="preserve">BUYER</w:t>
      </w:r>
    </w:p>
    <w:p>
      <w:pPr>
        <w:spacing w:after="40"/>
      </w:pPr>
      <w:r>
        <w:rPr>
          <w:rFonts w:ascii="Calibri" w:cs="Calibri" w:eastAsia="Calibri" w:hAnsi="Calibri"/>
          <w:sz w:val="21"/>
          <w:szCs w:val="21"/>
        </w:rPr>
        <w:t xml:space="preserve">Nova Manufacturing Ltd.</w:t>
      </w:r>
    </w:p>
    <w:p>
      <w:pPr>
        <w:spacing w:after="40"/>
      </w:pPr>
      <w:r>
        <w:rPr>
          <w:rFonts w:ascii="Calibri" w:cs="Calibri" w:eastAsia="Calibri" w:hAnsi="Calibri"/>
          <w:color w:val="44546A"/>
          <w:sz w:val="20"/>
          <w:szCs w:val="20"/>
        </w:rPr>
        <w:t xml:space="preserve">1200 Foundry Road, Akron, Ohio 44301</w:t>
      </w:r>
    </w:p>
    <w:p>
      <w:pPr>
        <w:spacing w:after="40" w:before="300"/>
      </w:pPr>
      <w:r>
        <w:rPr>
          <w:rFonts w:ascii="Calibri" w:cs="Calibri" w:eastAsia="Calibri" w:hAnsi="Calibri"/>
          <w:sz w:val="20"/>
          <w:szCs w:val="20"/>
        </w:rPr>
        <w:t xml:space="preserve">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p>
      <w:pPr>
        <w:spacing w:after="60" w:before="300"/>
      </w:pPr>
      <w:r>
        <w:rPr>
          <w:rFonts w:ascii="Calibri" w:cs="Calibri" w:eastAsia="Calibri" w:hAnsi="Calibri"/>
          <w:b/>
          <w:bCs/>
          <w:color w:val="1F3864"/>
          <w:sz w:val="21"/>
          <w:szCs w:val="21"/>
        </w:rPr>
        <w:t xml:space="preserve">SUPPLIER</w:t>
      </w:r>
    </w:p>
    <w:p>
      <w:pPr>
        <w:spacing w:after="40"/>
      </w:pPr>
      <w:r>
        <w:rPr>
          <w:rFonts w:ascii="Calibri" w:cs="Calibri" w:eastAsia="Calibri" w:hAnsi="Calibri"/>
          <w:sz w:val="21"/>
          <w:szCs w:val="21"/>
        </w:rPr>
        <w:t xml:space="preserve">Epsilon_Group</w:t>
      </w:r>
    </w:p>
    <w:p>
      <w:pPr>
        <w:spacing w:after="40"/>
      </w:pPr>
      <w:r>
        <w:rPr>
          <w:rFonts w:ascii="Calibri" w:cs="Calibri" w:eastAsia="Calibri" w:hAnsi="Calibri"/>
          <w:color w:val="44546A"/>
          <w:sz w:val="20"/>
          <w:szCs w:val="20"/>
        </w:rPr>
        <w:t xml:space="preserve">900 Furnace Row, Gary, Indiana 46402</w:t>
      </w:r>
    </w:p>
    <w:p>
      <w:pPr>
        <w:spacing w:after="40" w:before="300"/>
      </w:pPr>
      <w:r>
        <w:rPr>
          <w:rFonts w:ascii="Calibri" w:cs="Calibri" w:eastAsia="Calibri" w:hAnsi="Calibri"/>
          <w:sz w:val="20"/>
          <w:szCs w:val="20"/>
        </w:rPr>
        <w:t xml:space="preserve">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sectPr>
      <w:headerReference w:type="default" r:id="rId9"/>
      <w:footerReference w:type="default" r:id="rId10"/>
      <w:pgSz w:w="12240" w:h="15840" w:orient="portrait"/>
      <w:pgMar w:top="1080" w:right="1260" w:bottom="1080" w:left="126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NML-SC-EPSILON-2026-004</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NML-SC-EPSILON-2026-004</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Contract — Epsilon_Group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Contract — Epsilon_Group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2026-07-19T17:37:02.520Z</dcterms:created>
  <dcterms:modified xsi:type="dcterms:W3CDTF">2026-07-19T17:37:02.520Z</dcterms:modified>
</cp:coreProperties>
</file>

<file path=docProps/custom.xml><?xml version="1.0" encoding="utf-8"?>
<Properties xmlns="http://schemas.openxmlformats.org/officeDocument/2006/custom-properties" xmlns:vt="http://schemas.openxmlformats.org/officeDocument/2006/docPropsVTypes"/>
</file>