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pBdr>
          <w:top w:val="single" w:color="1F3864" w:sz="12" w:space="8"/>
          <w:bottom w:val="single" w:color="1F3864" w:sz="12" w:space="8"/>
          <w:left w:val="single" w:color="1F3864" w:sz="12" w:space="8"/>
          <w:right w:val="single" w:color="1F3864" w:sz="12" w:space="8"/>
        </w:pBdr>
        <w:spacing w:after="200"/>
        <w:jc w:val="center"/>
      </w:pPr>
      <w:r>
        <w:rPr>
          <w:rFonts w:ascii="Calibri" w:cs="Calibri" w:eastAsia="Calibri" w:hAnsi="Calibri"/>
          <w:b/>
          <w:bCs/>
          <w:color w:val="1F3864"/>
          <w:sz w:val="20"/>
          <w:szCs w:val="20"/>
        </w:rPr>
        <w:t xml:space="preserve">[ NOVA MANUFACTURING LTD. — COMPANY LOGO ]</w:t>
      </w:r>
    </w:p>
    <w:p>
      <w:pPr>
        <w:spacing w:after="200" w:before="600"/>
        <w:jc w:val="center"/>
      </w:pPr>
      <w:r>
        <w:rPr>
          <w:rFonts w:ascii="Calibri" w:cs="Calibri" w:eastAsia="Calibri" w:hAnsi="Calibri"/>
          <w:b/>
          <w:bCs/>
          <w:color w:val="1F3864"/>
          <w:sz w:val="40"/>
          <w:szCs w:val="40"/>
        </w:rPr>
        <w:t xml:space="preserve">Nova Manufacturing Ltd.</w:t>
      </w:r>
    </w:p>
    <w:p>
      <w:pPr>
        <w:spacing w:after="100"/>
        <w:jc w:val="center"/>
      </w:pPr>
      <w:r>
        <w:rPr>
          <w:rFonts w:ascii="Calibri" w:cs="Calibri" w:eastAsia="Calibri" w:hAnsi="Calibri"/>
          <w:b/>
          <w:bCs/>
          <w:color w:val="44546A"/>
          <w:sz w:val="32"/>
          <w:szCs w:val="32"/>
        </w:rPr>
        <w:t xml:space="preserve">Supplier Contract — Gamma_Co</w:t>
      </w:r>
    </w:p>
    <w:p>
      <w:pPr>
        <w:spacing w:after="600"/>
        <w:jc w:val="center"/>
      </w:pPr>
      <w:r>
        <w:rPr>
          <w:rFonts w:ascii="Calibri" w:cs="Calibri" w:eastAsia="Calibri" w:hAnsi="Calibri"/>
          <w:i/>
          <w:iCs/>
          <w:color w:val="44546A"/>
          <w:sz w:val="24"/>
          <w:szCs w:val="24"/>
        </w:rPr>
        <w:t xml:space="preserve">Master Supply Agreement for Maintenance, Repair and Operations (MRO) Goods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ID:</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NML-SC-GAMMA-2026-005</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Version: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1.0</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Issue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January 1,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Revision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January 1,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Owner:</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Procurement Manager — MRO Category</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Classification: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Confidential — Contains Commercial Terms</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Supplier Name: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Gamma_Co</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Contract Status:</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Active</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Expiration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December 31, 2028</w:t>
            </w:r>
          </w:p>
        </w:tc>
      </w:tr>
    </w:tbl>
    <w:p>
      <w:r>
        <w:br w:type="page"/>
      </w:r>
    </w:p>
    <w:p>
      <w:pPr>
        <w:sectPr>
          <w:headerReference w:type="default" r:id="rId7"/>
          <w:footerReference w:type="default" r:id="rId8"/>
          <w:pgSz w:w="12240" w:h="15840" w:orient="portrait"/>
          <w:pgMar w:top="1080" w:right="1260" w:bottom="1080" w:left="1260" w:header="708" w:footer="708" w:gutter="0"/>
          <w:pgNumType/>
          <w:titlePg w:val="false"/>
          <w:docGrid w:linePitch="360"/>
        </w:sectPr>
      </w:pPr>
    </w:p>
    <w:p>
      <w:pPr>
        <w:pStyle w:val="Heading1"/>
        <w:pBdr>
          <w:bottom w:val="single" w:color="D9D9D9" w:sz="6" w:space="4"/>
        </w:pBdr>
        <w:spacing w:after="150" w:before="300"/>
      </w:pPr>
      <w:r>
        <w:rPr>
          <w:rFonts w:ascii="Calibri" w:cs="Calibri" w:eastAsia="Calibri" w:hAnsi="Calibri"/>
          <w:b/>
          <w:bCs/>
          <w:color w:val="1F3864"/>
          <w:sz w:val="28"/>
          <w:szCs w:val="28"/>
        </w:rPr>
        <w:t xml:space="preserve">1. Contract Identification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6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Detail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Contract Number</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NML-SC-GAMMA-2026-005</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Contract Status</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Active</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Effective Date</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January 1, 2026</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Expiration Date</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December 31, 2028</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Initial Term</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36 months (January 1, 2026 through December 31, 2028)</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Renewal</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Automatic 12-month renewal unless either party provides 30 days' written notice of non-renewal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Category</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 — Bearings, Lubricants, Personal Protective Equipment, Power Tools</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Version</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w:t>
            </w:r>
          </w:p>
        </w:tc>
      </w:tr>
    </w:tbl>
    <w:p>
      <w:pPr>
        <w:pStyle w:val="Heading1"/>
        <w:pBdr>
          <w:bottom w:val="single" w:color="D9D9D9" w:sz="6" w:space="4"/>
        </w:pBdr>
        <w:spacing w:after="150" w:before="300"/>
      </w:pPr>
      <w:r>
        <w:rPr>
          <w:rFonts w:ascii="Calibri" w:cs="Calibri" w:eastAsia="Calibri" w:hAnsi="Calibri"/>
          <w:b/>
          <w:bCs/>
          <w:color w:val="1F3864"/>
          <w:sz w:val="28"/>
          <w:szCs w:val="28"/>
        </w:rPr>
        <w:t xml:space="preserve">2. Parties</w:t>
      </w:r>
    </w:p>
    <w:p>
      <w:pPr>
        <w:spacing w:after="140" w:line="276"/>
        <w:jc w:val="both"/>
      </w:pPr>
      <w:r>
        <w:rPr>
          <w:rFonts w:ascii="Calibri" w:cs="Calibri" w:eastAsia="Calibri" w:hAnsi="Calibri"/>
          <w:color w:val="222222"/>
          <w:sz w:val="21"/>
          <w:szCs w:val="21"/>
        </w:rPr>
        <w:t xml:space="preserve">This Master Supply Agreement ("Agreement") is entered into as of January 1, 2026 (the "Effective Date") by and between:</w:t>
      </w:r>
    </w:p>
    <w:p>
      <w:pPr>
        <w:spacing w:after="140" w:line="276"/>
        <w:jc w:val="both"/>
      </w:pPr>
      <w:r>
        <w:rPr>
          <w:rFonts w:ascii="Calibri" w:cs="Calibri" w:eastAsia="Calibri" w:hAnsi="Calibri"/>
          <w:color w:val="222222"/>
          <w:sz w:val="21"/>
          <w:szCs w:val="21"/>
        </w:rPr>
        <w:t xml:space="preserve">Nova Manufacturing Ltd., a corporation organized under the laws of the State of Delaware, with its principal manufacturing facility at 1200 Foundry Road, Akron, Ohio 44301 ("Buyer" or "Nova Manufacturing"); and</w:t>
      </w:r>
    </w:p>
    <w:p>
      <w:pPr>
        <w:spacing w:after="140" w:line="276"/>
        <w:jc w:val="both"/>
      </w:pPr>
      <w:r>
        <w:rPr>
          <w:rFonts w:ascii="Calibri" w:cs="Calibri" w:eastAsia="Calibri" w:hAnsi="Calibri"/>
          <w:color w:val="222222"/>
          <w:sz w:val="21"/>
          <w:szCs w:val="21"/>
        </w:rPr>
        <w:t xml:space="preserve">Gamma_Co, a corporation organized under the laws of the State of Ohio, with its principal distribution center at 2100 Industrial Row, Cleveland, Ohio 44109 ("Supplier" or "Gamma_Co").</w:t>
      </w:r>
    </w:p>
    <w:p>
      <w:pPr>
        <w:spacing w:after="140" w:line="276"/>
        <w:jc w:val="both"/>
      </w:pPr>
      <w:r>
        <w:rPr>
          <w:rFonts w:ascii="Calibri" w:cs="Calibri" w:eastAsia="Calibri" w:hAnsi="Calibri"/>
          <w:color w:val="222222"/>
          <w:sz w:val="21"/>
          <w:szCs w:val="21"/>
        </w:rPr>
        <w:t xml:space="preserve">Buyer and Supplier may each be referred to individually as a "Party" and collectively as the "Parties." This Agreement is Active as of the Effective Date and shall remain in full force and effect through the Expiration Date stated above, unless earlier terminated in accordance with Section 12.</w:t>
      </w:r>
    </w:p>
    <w:p>
      <w:pPr>
        <w:pStyle w:val="Heading1"/>
        <w:pBdr>
          <w:bottom w:val="single" w:color="D9D9D9" w:sz="6" w:space="4"/>
        </w:pBdr>
        <w:spacing w:after="150" w:before="300"/>
      </w:pPr>
      <w:r>
        <w:rPr>
          <w:rFonts w:ascii="Calibri" w:cs="Calibri" w:eastAsia="Calibri" w:hAnsi="Calibri"/>
          <w:b/>
          <w:bCs/>
          <w:color w:val="1F3864"/>
          <w:sz w:val="28"/>
          <w:szCs w:val="28"/>
        </w:rPr>
        <w:t xml:space="preserve">3. Scope of Supply</w:t>
      </w:r>
    </w:p>
    <w:p>
      <w:pPr>
        <w:spacing w:after="140" w:line="276"/>
        <w:jc w:val="both"/>
      </w:pPr>
      <w:r>
        <w:rPr>
          <w:rFonts w:ascii="Calibri" w:cs="Calibri" w:eastAsia="Calibri" w:hAnsi="Calibri"/>
          <w:color w:val="222222"/>
          <w:sz w:val="21"/>
          <w:szCs w:val="21"/>
        </w:rPr>
        <w:t xml:space="preserve">Supplier shall stock, source, and supply to Buyer the maintenance, repair, and operations items identified in Section 4 (the "Products") for use in the upkeep of production equipment, facilities, and workplace safety programs at Buyer's Akron, Ohio facility, in the quantities and at the times specified in individual Purchase Orders and Buyer's standing MRO replenishment schedule issued under this Agreement. This Agreement establishes the general commercial and legal framework governing all such Purchase Orders; in the event of a conflict between this Agreement and a specific Purchase Order, this Agreement shall govern unless the Purchase Order expressly states an intent to deviate and is countersigned by both Parties.</w:t>
      </w:r>
    </w:p>
    <w:p>
      <w:pPr>
        <w:pStyle w:val="Heading1"/>
        <w:pBdr>
          <w:bottom w:val="single" w:color="D9D9D9" w:sz="6" w:space="4"/>
        </w:pBdr>
        <w:spacing w:after="150" w:before="300"/>
      </w:pPr>
      <w:r>
        <w:rPr>
          <w:rFonts w:ascii="Calibri" w:cs="Calibri" w:eastAsia="Calibri" w:hAnsi="Calibri"/>
          <w:b/>
          <w:bCs/>
          <w:color w:val="1F3864"/>
          <w:sz w:val="28"/>
          <w:szCs w:val="28"/>
        </w:rPr>
        <w:t xml:space="preserve">4. Products and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Item Code</w:t>
            </w:r>
          </w:p>
        </w:tc>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Specification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MRO-BRG-620</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Sealed Deep-Groove Ball Bearing, 6205-2RS, 25mm bore</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ABEC-1 precision; double rubber seal, pre-greased</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MRO-LUB-055</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Industrial Synthetic Gear Oil, ISO VG 220, 55-gallon drum</w:t>
            </w:r>
          </w:p>
        </w:tc>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AGMA 9005-compliant; operating range -10°F to 220°F</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MRO-PPE-410</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Cut-Resistant Safety Gloves, box of 12 pairs</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ANSI/ISEA 105 Cut Level A4; touchscreen-compatible fingertips</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MRO-TL-330</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Cordless Impact Wrench, 1/2" drive, 20V brushless</w:t>
            </w:r>
          </w:p>
        </w:tc>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700 ft-lb max torque; includes 2 batteries and charger</w:t>
            </w:r>
          </w:p>
        </w:tc>
      </w:tr>
    </w:tbl>
    <w:p>
      <w:pPr>
        <w:spacing w:after="140" w:line="276"/>
        <w:jc w:val="both"/>
      </w:pPr>
      <w:r>
        <w:rPr>
          <w:rFonts w:ascii="Calibri" w:cs="Calibri" w:eastAsia="Calibri" w:hAnsi="Calibri"/>
          <w:color w:val="222222"/>
          <w:sz w:val="21"/>
          <w:szCs w:val="21"/>
        </w:rPr>
        <w:t xml:space="preserve">All Products shall conform to the specifications, OEM equivalency standards, and safety ratings referenced in the applicable Purchase Order and to Buyer's MRO Standards Catalog as revised from time to time and communicated in writing to Supplier no less than 15 days prior to a specification change taking effect on open orders. Supplier shall provide Safety Data Sheets (SDS) for all lubricant and chemical Products with the initial shipment of each item and upon any formulation change.</w:t>
      </w:r>
    </w:p>
    <w:p>
      <w:pPr>
        <w:pStyle w:val="Heading1"/>
        <w:pBdr>
          <w:bottom w:val="single" w:color="D9D9D9" w:sz="6" w:space="4"/>
        </w:pBdr>
        <w:spacing w:after="150" w:before="300"/>
      </w:pPr>
      <w:r>
        <w:rPr>
          <w:rFonts w:ascii="Calibri" w:cs="Calibri" w:eastAsia="Calibri" w:hAnsi="Calibri"/>
          <w:b/>
          <w:bCs/>
          <w:color w:val="1F3864"/>
          <w:sz w:val="28"/>
          <w:szCs w:val="28"/>
        </w:rPr>
        <w:t xml:space="preserve">5. Pricing</w:t>
      </w:r>
    </w:p>
    <w:p>
      <w:pPr>
        <w:spacing w:after="140" w:line="276"/>
        <w:jc w:val="both"/>
      </w:pPr>
      <w:r>
        <w:rPr>
          <w:rFonts w:ascii="Calibri" w:cs="Calibri" w:eastAsia="Calibri" w:hAnsi="Calibri"/>
          <w:color w:val="222222"/>
          <w:sz w:val="21"/>
          <w:szCs w:val="21"/>
        </w:rPr>
        <w:t xml:space="preserve">Unit pricing is fixed for the Initial Term as set forth below, subject to the price adjustment mechanism in Section 5.1. All prices are stated in United States Dollars (USD) and exclude applicable sales, use, or excise taxes, which shall be stated separately on Supplier's invoices.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Item Code</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Unit Price (USD)</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Minimum Order Qty</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Volume Discount</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MRO-BRG-620</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$8.90 / unit</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20 units</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 at 200+ units</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MRO-LUB-055</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$615.00 / drum</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 drums</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8% at 10+ drums</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MRO-PPE-410</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$54.75 / box</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 boxes</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 at 100+ boxes</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MRO-TL-330</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$249.00 / kit</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 kits</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7% at 25+ kits</w:t>
            </w:r>
          </w:p>
        </w:tc>
      </w:tr>
    </w:tbl>
    <w:p>
      <w:pPr>
        <w:pStyle w:val="Heading2"/>
        <w:spacing w:after="120" w:before="240"/>
      </w:pPr>
      <w:r>
        <w:rPr>
          <w:rFonts w:ascii="Calibri" w:cs="Calibri" w:eastAsia="Calibri" w:hAnsi="Calibri"/>
          <w:b/>
          <w:bCs/>
          <w:color w:val="44546A"/>
          <w:sz w:val="24"/>
          <w:szCs w:val="24"/>
        </w:rPr>
        <w:t xml:space="preserve">5.1 Price Adjustment Mechanism</w:t>
      </w:r>
    </w:p>
    <w:p>
      <w:pPr>
        <w:spacing w:after="140" w:line="276"/>
        <w:jc w:val="both"/>
      </w:pPr>
      <w:r>
        <w:rPr>
          <w:rFonts w:ascii="Calibri" w:cs="Calibri" w:eastAsia="Calibri" w:hAnsi="Calibri"/>
          <w:color w:val="222222"/>
          <w:sz w:val="21"/>
          <w:szCs w:val="21"/>
        </w:rPr>
        <w:t xml:space="preserve">Unit pricing may be adjusted no more than once per 12-month period, and only upon 30 days' written notice from Supplier, to reflect documented increases in base oil, steel, or lithium-ion cell input costs exceeding 5% as evidenced by a recognized commodity index. Any such adjustment is subject to Buyer's review and written approval, which shall not be unreasonably withheld. Supplier shall pass through to Buyer any manufacturer price decreases on OEM-branded tool Products within 30 days of the decrease taking effect.</w:t>
      </w:r>
    </w:p>
    <w:p>
      <w:pPr>
        <w:pStyle w:val="Heading1"/>
        <w:pBdr>
          <w:bottom w:val="single" w:color="D9D9D9" w:sz="6" w:space="4"/>
        </w:pBdr>
        <w:spacing w:after="150" w:before="300"/>
      </w:pPr>
      <w:r>
        <w:rPr>
          <w:rFonts w:ascii="Calibri" w:cs="Calibri" w:eastAsia="Calibri" w:hAnsi="Calibri"/>
          <w:b/>
          <w:bCs/>
          <w:color w:val="1F3864"/>
          <w:sz w:val="28"/>
          <w:szCs w:val="28"/>
        </w:rPr>
        <w:t xml:space="preserve">6. Delivery Terms</w:t>
      </w:r>
    </w:p>
    <w:p>
      <w:pPr>
        <w:spacing w:after="140" w:line="276"/>
        <w:jc w:val="both"/>
      </w:pPr>
      <w:r>
        <w:rPr>
          <w:rFonts w:ascii="Calibri" w:cs="Calibri" w:eastAsia="Calibri" w:hAnsi="Calibri"/>
          <w:color w:val="222222"/>
          <w:sz w:val="21"/>
          <w:szCs w:val="21"/>
        </w:rPr>
        <w:t xml:space="preserve">Standard delivery time is five (5) business days from Supplier's written order acknowledgment for items held in Supplier's Cleveland, Ohio distribution center inventory, and twelve (12) business days for special-order or non-stocked items requiring direct manufacturer procurement. Supplier shall maintain a minimum of 45 days' safety stock of Buyer's top fifteen highest-usage MRO items to support unplanned maintenance and breakdown-driven emergency orders.</w:t>
      </w:r>
    </w:p>
    <w:p>
      <w:pPr>
        <w:pStyle w:val="Heading2"/>
        <w:spacing w:after="120" w:before="240"/>
      </w:pPr>
      <w:r>
        <w:rPr>
          <w:rFonts w:ascii="Calibri" w:cs="Calibri" w:eastAsia="Calibri" w:hAnsi="Calibri"/>
          <w:b/>
          <w:bCs/>
          <w:color w:val="44546A"/>
          <w:sz w:val="24"/>
          <w:szCs w:val="24"/>
        </w:rPr>
        <w:t xml:space="preserve">6.1 Incoterms</w:t>
      </w:r>
    </w:p>
    <w:p>
      <w:pPr>
        <w:spacing w:after="140" w:line="276"/>
        <w:jc w:val="both"/>
      </w:pPr>
      <w:r>
        <w:rPr>
          <w:rFonts w:ascii="Calibri" w:cs="Calibri" w:eastAsia="Calibri" w:hAnsi="Calibri"/>
          <w:color w:val="222222"/>
          <w:sz w:val="21"/>
          <w:szCs w:val="21"/>
        </w:rPr>
        <w:t xml:space="preserve">Delivery shall be governed by DAP (Delivered at Place) Buyer's Akron, Ohio receiving dock, Incoterms® 2020, unless a specific Purchase Order specifies otherwise. Supplier bears all transportation costs and risk of loss up to arrival at Buyer's named place of delivery; Buyer is responsible only for unloading and any applicable import formalities, which are not anticipated for domestic shipments under this Agreement.</w:t>
      </w:r>
    </w:p>
    <w:p>
      <w:pPr>
        <w:pStyle w:val="Heading1"/>
        <w:pBdr>
          <w:bottom w:val="single" w:color="D9D9D9" w:sz="6" w:space="4"/>
        </w:pBdr>
        <w:spacing w:after="150" w:before="300"/>
      </w:pPr>
      <w:r>
        <w:rPr>
          <w:rFonts w:ascii="Calibri" w:cs="Calibri" w:eastAsia="Calibri" w:hAnsi="Calibri"/>
          <w:b/>
          <w:bCs/>
          <w:color w:val="1F3864"/>
          <w:sz w:val="28"/>
          <w:szCs w:val="28"/>
        </w:rPr>
        <w:t xml:space="preserve">7. Payment Terms</w:t>
      </w:r>
    </w:p>
    <w:p>
      <w:pPr>
        <w:spacing w:after="140" w:line="276"/>
        <w:jc w:val="both"/>
      </w:pPr>
      <w:r>
        <w:rPr>
          <w:rFonts w:ascii="Calibri" w:cs="Calibri" w:eastAsia="Calibri" w:hAnsi="Calibri"/>
          <w:color w:val="222222"/>
          <w:sz w:val="21"/>
          <w:szCs w:val="21"/>
        </w:rPr>
        <w:t xml:space="preserve">Payment terms are Net 30 days from the date of Supplier's invoice, provided the invoice matches the Purchase Order and the Goods Receipt Note within Buyer's standard 2% tolerance. Supplier offers an early payment discount of 2% if payment is remitted within 15 days of the invoice date (2%/15 Net 30). Invoices shall be submitted electronically to accountspayable@novamanufacturing-example.com and shall reference the applicable Purchase Order number and Buyer's internal equipment or work-order code where applicable.</w:t>
      </w:r>
    </w:p>
    <w:p>
      <w:pPr>
        <w:pStyle w:val="Heading1"/>
        <w:pBdr>
          <w:bottom w:val="single" w:color="D9D9D9" w:sz="6" w:space="4"/>
        </w:pBdr>
        <w:spacing w:after="150" w:before="300"/>
      </w:pPr>
      <w:r>
        <w:rPr>
          <w:rFonts w:ascii="Calibri" w:cs="Calibri" w:eastAsia="Calibri" w:hAnsi="Calibri"/>
          <w:b/>
          <w:bCs/>
          <w:color w:val="1F3864"/>
          <w:sz w:val="28"/>
          <w:szCs w:val="28"/>
        </w:rPr>
        <w:t xml:space="preserve">8. Quality Standards</w:t>
      </w:r>
    </w:p>
    <w:p>
      <w:pPr>
        <w:spacing w:after="140" w:line="276"/>
        <w:jc w:val="both"/>
      </w:pPr>
      <w:r>
        <w:rPr>
          <w:rFonts w:ascii="Calibri" w:cs="Calibri" w:eastAsia="Calibri" w:hAnsi="Calibri"/>
          <w:color w:val="222222"/>
          <w:sz w:val="21"/>
          <w:szCs w:val="21"/>
        </w:rPr>
        <w:t xml:space="preserve">Supplier shall maintain, throughout the Term, certification to ISO 9001:2015 for its distribution operations and shall ensure that all Personal Protective Equipment (PPE) Products meet or exceed the ANSI/ISEA 105 cut-resistance rating and applicable OSHA 29 CFR 1910.138 hand-protection requirements stated in Section 4. Power tool Products shall be genuine OEM units (not gray-market or refurbished) and shall be supplied with full manufacturer documentation. Lubricant Products shall meet the AGMA and viscosity-grade specifications stated in Section 4, with batch-level Certificates of Analysis available upon request.</w:t>
      </w:r>
    </w:p>
    <w:p>
      <w:pPr>
        <w:pStyle w:val="Heading1"/>
        <w:pBdr>
          <w:bottom w:val="single" w:color="D9D9D9" w:sz="6" w:space="4"/>
        </w:pBdr>
        <w:spacing w:after="150" w:before="300"/>
      </w:pPr>
      <w:r>
        <w:rPr>
          <w:rFonts w:ascii="Calibri" w:cs="Calibri" w:eastAsia="Calibri" w:hAnsi="Calibri"/>
          <w:b/>
          <w:bCs/>
          <w:color w:val="1F3864"/>
          <w:sz w:val="28"/>
          <w:szCs w:val="28"/>
        </w:rPr>
        <w:t xml:space="preserve">9. Inspection</w:t>
      </w:r>
    </w:p>
    <w:p>
      <w:pPr>
        <w:spacing w:after="140" w:line="276"/>
        <w:jc w:val="both"/>
      </w:pPr>
      <w:r>
        <w:rPr>
          <w:rFonts w:ascii="Calibri" w:cs="Calibri" w:eastAsia="Calibri" w:hAnsi="Calibri"/>
          <w:color w:val="222222"/>
          <w:sz w:val="21"/>
          <w:szCs w:val="21"/>
        </w:rPr>
        <w:t xml:space="preserve">Buyer shall perform incoming inspection on all shipments using a visual, count, and (for PPE and tools) functional spot-check verification method, sampling in accordance with ANSI/ASQ Z1.4 General Inspection Level I, Acceptable Quality Level (AQL) 2.5. Buyer shall notify Supplier of any nonconformance, shortage, or damaged-in-transit condition within five (5) business days of receipt. Buyer reserves the right to reject and return, at Supplier's expense, any shipment exceeding the applicable AQL, and Supplier shall replace rejected units within five (5) business days of notification at no additional cost to Buyer.</w:t>
      </w:r>
    </w:p>
    <w:p>
      <w:pPr>
        <w:pStyle w:val="Heading1"/>
        <w:pBdr>
          <w:bottom w:val="single" w:color="D9D9D9" w:sz="6" w:space="4"/>
        </w:pBdr>
        <w:spacing w:after="150" w:before="300"/>
      </w:pPr>
      <w:r>
        <w:rPr>
          <w:rFonts w:ascii="Calibri" w:cs="Calibri" w:eastAsia="Calibri" w:hAnsi="Calibri"/>
          <w:b/>
          <w:bCs/>
          <w:color w:val="1F3864"/>
          <w:sz w:val="28"/>
          <w:szCs w:val="28"/>
        </w:rPr>
        <w:t xml:space="preserve">10. Warranty</w:t>
      </w:r>
    </w:p>
    <w:p>
      <w:pPr>
        <w:spacing w:after="140" w:line="276"/>
        <w:jc w:val="both"/>
      </w:pPr>
      <w:r>
        <w:rPr>
          <w:rFonts w:ascii="Calibri" w:cs="Calibri" w:eastAsia="Calibri" w:hAnsi="Calibri"/>
          <w:color w:val="222222"/>
          <w:sz w:val="21"/>
          <w:szCs w:val="21"/>
        </w:rPr>
        <w:t xml:space="preserve">For durable Products (bearings and power tools), Supplier shall pass through the full original equipment manufacturer warranty, which in no event shall be less than twelve (12) months from the date of delivery, and shall provide reasonable assistance to Buyer in pursuing any OEM warranty claim. For consumable Products (lubricants and PPE), Supplier warrants only that such Products shall be free from defects in material and packaging at the time of delivery, and shall replace or credit any Product found defective within thirty (30) calendar days of delivery. This warranty is in addition to, and not in lieu of, any implied warranties of merchantability and fitness for a particular purpose, which are not disclaimed under this Agreement.</w:t>
      </w:r>
    </w:p>
    <w:p>
      <w:pPr>
        <w:pStyle w:val="Heading1"/>
        <w:pBdr>
          <w:bottom w:val="single" w:color="D9D9D9" w:sz="6" w:space="4"/>
        </w:pBdr>
        <w:spacing w:after="150" w:before="300"/>
      </w:pPr>
      <w:r>
        <w:rPr>
          <w:rFonts w:ascii="Calibri" w:cs="Calibri" w:eastAsia="Calibri" w:hAnsi="Calibri"/>
          <w:b/>
          <w:bCs/>
          <w:color w:val="1F3864"/>
          <w:sz w:val="28"/>
          <w:szCs w:val="28"/>
        </w:rPr>
        <w:t xml:space="preserve">11. Late Delivery Penalty</w:t>
      </w:r>
    </w:p>
    <w:p>
      <w:pPr>
        <w:spacing w:after="140" w:line="276"/>
        <w:jc w:val="both"/>
      </w:pPr>
      <w:r>
        <w:rPr>
          <w:rFonts w:ascii="Calibri" w:cs="Calibri" w:eastAsia="Calibri" w:hAnsi="Calibri"/>
          <w:color w:val="222222"/>
          <w:sz w:val="21"/>
          <w:szCs w:val="21"/>
        </w:rPr>
        <w:t xml:space="preserve">If Supplier fails to deliver Products within the agreed delivery window (delivery time plus a grace period of 2 business days), Supplier shall credit Buyer liquidated damages equal to 0.6% of the affected Purchase Order line value per business day of delay, up to a maximum of 9% of the affected line value. Liquidated damages under this Section are Buyer's sole and exclusive financial remedy for late delivery, except where late delivery results from Supplier's gross negligence or willful misconduct, or where a delay in delivery of a stocked emergency-order item exceeds 3 business days and directly causes an unplanned production line stoppage, in which case Buyer may additionally recover documented direct costs of the stoppage up to $10,000 per incident, and may procure replacement Products from an alternate source without penalty.</w:t>
      </w:r>
    </w:p>
    <w:p>
      <w:pPr>
        <w:pStyle w:val="Heading1"/>
        <w:pBdr>
          <w:bottom w:val="single" w:color="D9D9D9" w:sz="6" w:space="4"/>
        </w:pBdr>
        <w:spacing w:after="150" w:before="300"/>
      </w:pPr>
      <w:r>
        <w:rPr>
          <w:rFonts w:ascii="Calibri" w:cs="Calibri" w:eastAsia="Calibri" w:hAnsi="Calibri"/>
          <w:b/>
          <w:bCs/>
          <w:color w:val="1F3864"/>
          <w:sz w:val="28"/>
          <w:szCs w:val="28"/>
        </w:rPr>
        <w:t xml:space="preserve">12. Termination</w:t>
      </w:r>
    </w:p>
    <w:p>
      <w:pPr>
        <w:spacing w:after="140" w:line="276"/>
        <w:jc w:val="both"/>
      </w:pPr>
      <w:r>
        <w:rPr>
          <w:rFonts w:ascii="Calibri" w:cs="Calibri" w:eastAsia="Calibri" w:hAnsi="Calibri"/>
          <w:color w:val="222222"/>
          <w:sz w:val="21"/>
          <w:szCs w:val="21"/>
        </w:rPr>
        <w:t xml:space="preserve">Either Party may terminate this Agreement for convenience upon thirty (30) calendar days' prior written notice, reflecting the shorter planning horizon typical of MRO consumable and stocked-item sourcing. Either Party may terminate this Agreement for cause immediately upon written notice if the other Party materially breaches this Agreement and fails to cure such breach within ten (10) calendar days of receiving written notice describing the breach in reasonable detail. Buyer may additionally terminate immediately, without a cure period, if Supplier becomes insolvent, files for bankruptcy protection, or undergoes a change of control that Buyer reasonably determines poses a material risk to supply continuity. Upon termination, Supplier shall complete or, at Buyer's election, cancel all open Purchase Orders, and Buyer shall pay for conforming Products already shipped as of the termination date.</w:t>
      </w:r>
    </w:p>
    <w:p>
      <w:pPr>
        <w:pStyle w:val="Heading1"/>
        <w:pBdr>
          <w:bottom w:val="single" w:color="D9D9D9" w:sz="6" w:space="4"/>
        </w:pBdr>
        <w:spacing w:after="150" w:before="300"/>
      </w:pPr>
      <w:r>
        <w:rPr>
          <w:rFonts w:ascii="Calibri" w:cs="Calibri" w:eastAsia="Calibri" w:hAnsi="Calibri"/>
          <w:b/>
          <w:bCs/>
          <w:color w:val="1F3864"/>
          <w:sz w:val="28"/>
          <w:szCs w:val="28"/>
        </w:rPr>
        <w:t xml:space="preserve">13. Force Majeure</w:t>
      </w:r>
    </w:p>
    <w:p>
      <w:pPr>
        <w:spacing w:after="140" w:line="276"/>
        <w:jc w:val="both"/>
      </w:pPr>
      <w:r>
        <w:rPr>
          <w:rFonts w:ascii="Calibri" w:cs="Calibri" w:eastAsia="Calibri" w:hAnsi="Calibri"/>
          <w:color w:val="222222"/>
          <w:sz w:val="21"/>
          <w:szCs w:val="21"/>
        </w:rPr>
        <w:t xml:space="preserve">Neither Party shall be liable for any failure or delay in performance (other than payment obligations) resulting from causes beyond its reasonable control, including but not limited to acts of God, fire, flood, war, terrorism, governmental action, labor disputes, or shortages of base oil, steel, or battery cell inputs, provided that the affected Party promptly notifies the other Party in writing and uses commercially reasonable efforts to mitigate the impact. If a force majeure event continues for more than 30 consecutive calendar days, either Party may terminate the affected Purchase Order(s) without liability.</w:t>
      </w:r>
    </w:p>
    <w:p>
      <w:pPr>
        <w:pStyle w:val="Heading1"/>
        <w:pBdr>
          <w:bottom w:val="single" w:color="D9D9D9" w:sz="6" w:space="4"/>
        </w:pBdr>
        <w:spacing w:after="150" w:before="300"/>
      </w:pPr>
      <w:r>
        <w:rPr>
          <w:rFonts w:ascii="Calibri" w:cs="Calibri" w:eastAsia="Calibri" w:hAnsi="Calibri"/>
          <w:b/>
          <w:bCs/>
          <w:color w:val="1F3864"/>
          <w:sz w:val="28"/>
          <w:szCs w:val="28"/>
        </w:rPr>
        <w:t xml:space="preserve">14. Confidentiality</w:t>
      </w:r>
    </w:p>
    <w:p>
      <w:pPr>
        <w:spacing w:after="140" w:line="276"/>
        <w:jc w:val="both"/>
      </w:pPr>
      <w:r>
        <w:rPr>
          <w:rFonts w:ascii="Calibri" w:cs="Calibri" w:eastAsia="Calibri" w:hAnsi="Calibri"/>
          <w:color w:val="222222"/>
          <w:sz w:val="21"/>
          <w:szCs w:val="21"/>
        </w:rPr>
        <w:t xml:space="preserve">Each Party shall protect the other Party's confidential information, including pricing, usage forecasts, and business plans, using at least the same degree of care it uses to protect its own confidential information of similar importance, and in no event less than a reasonable standard of care. Confidentiality obligations under this Section shall survive termination or expiration of this Agreement for a period of three (3) years, except that confidential information constituting a trade secret under applicable law shall be protected for so long as it retains trade secret status.</w:t>
      </w:r>
    </w:p>
    <w:p>
      <w:pPr>
        <w:pStyle w:val="Heading1"/>
        <w:pBdr>
          <w:bottom w:val="single" w:color="D9D9D9" w:sz="6" w:space="4"/>
        </w:pBdr>
        <w:spacing w:after="150" w:before="300"/>
      </w:pPr>
      <w:r>
        <w:rPr>
          <w:rFonts w:ascii="Calibri" w:cs="Calibri" w:eastAsia="Calibri" w:hAnsi="Calibri"/>
          <w:b/>
          <w:bCs/>
          <w:color w:val="1F3864"/>
          <w:sz w:val="28"/>
          <w:szCs w:val="28"/>
        </w:rPr>
        <w:t xml:space="preserve">15. Dispute Resolution</w:t>
      </w:r>
    </w:p>
    <w:p>
      <w:pPr>
        <w:spacing w:after="140" w:line="276"/>
        <w:jc w:val="both"/>
      </w:pPr>
      <w:r>
        <w:rPr>
          <w:rFonts w:ascii="Calibri" w:cs="Calibri" w:eastAsia="Calibri" w:hAnsi="Calibri"/>
          <w:color w:val="222222"/>
          <w:sz w:val="21"/>
          <w:szCs w:val="21"/>
        </w:rPr>
        <w:t xml:space="preserve">The Parties shall attempt in good faith to resolve any dispute arising out of or relating to this Agreement through direct negotiation between designated representatives within 10 business days of written notice of the dispute. If the dispute is not resolved through negotiation, it shall be finally settled by binding arbitration administered by the American Arbitration Association under its Commercial Arbitration Rules, with the arbitration seated in Cuyahoga County, Ohio, before a single arbitrator. This Agreement shall be governed by the laws of the State of Ohio, without regard to its conflict of laws principles.</w:t>
      </w:r>
    </w:p>
    <w:p>
      <w:pPr>
        <w:pStyle w:val="Heading1"/>
        <w:pBdr>
          <w:bottom w:val="single" w:color="D9D9D9" w:sz="6" w:space="4"/>
        </w:pBdr>
        <w:spacing w:after="150" w:before="300"/>
      </w:pPr>
      <w:r>
        <w:rPr>
          <w:rFonts w:ascii="Calibri" w:cs="Calibri" w:eastAsia="Calibri" w:hAnsi="Calibri"/>
          <w:b/>
          <w:bCs/>
          <w:color w:val="1F3864"/>
          <w:sz w:val="28"/>
          <w:szCs w:val="28"/>
        </w:rPr>
        <w:t xml:space="preserve">16. Signatures</w:t>
      </w:r>
    </w:p>
    <w:p>
      <w:pPr>
        <w:spacing w:after="100"/>
      </w:pPr>
      <w:r>
        <w:rPr>
          <w:rFonts w:ascii="Calibri" w:cs="Calibri" w:eastAsia="Calibri" w:hAnsi="Calibri"/>
          <w:i/>
          <w:iCs/>
          <w:sz w:val="21"/>
          <w:szCs w:val="21"/>
        </w:rPr>
        <w:t xml:space="preserve">IN WITNESS WHEREOF, the Parties have executed this Agreement as of the Effective Date.</w:t>
      </w:r>
    </w:p>
    <w:p>
      <w:pPr>
        <w:spacing w:after="60" w:before="300"/>
      </w:pPr>
      <w:r>
        <w:rPr>
          <w:rFonts w:ascii="Calibri" w:cs="Calibri" w:eastAsia="Calibri" w:hAnsi="Calibri"/>
          <w:b/>
          <w:bCs/>
          <w:color w:val="1F3864"/>
          <w:sz w:val="21"/>
          <w:szCs w:val="21"/>
        </w:rPr>
        <w:t xml:space="preserve">BUYER</w:t>
      </w:r>
    </w:p>
    <w:p>
      <w:pPr>
        <w:spacing w:after="40"/>
      </w:pPr>
      <w:r>
        <w:rPr>
          <w:rFonts w:ascii="Calibri" w:cs="Calibri" w:eastAsia="Calibri" w:hAnsi="Calibri"/>
          <w:sz w:val="21"/>
          <w:szCs w:val="21"/>
        </w:rPr>
        <w:t xml:space="preserve">Nova Manufacturing Ltd.</w:t>
      </w:r>
    </w:p>
    <w:p>
      <w:pPr>
        <w:spacing w:after="40"/>
      </w:pPr>
      <w:r>
        <w:rPr>
          <w:rFonts w:ascii="Calibri" w:cs="Calibri" w:eastAsia="Calibri" w:hAnsi="Calibri"/>
          <w:color w:val="44546A"/>
          <w:sz w:val="20"/>
          <w:szCs w:val="20"/>
        </w:rPr>
        <w:t xml:space="preserve">1200 Foundry Road, Akron, Ohio 44301</w:t>
      </w:r>
    </w:p>
    <w:p>
      <w:pPr>
        <w:spacing w:after="40" w:before="300"/>
      </w:pPr>
      <w:r>
        <w:rPr>
          <w:rFonts w:ascii="Calibri" w:cs="Calibri" w:eastAsia="Calibri" w:hAnsi="Calibri"/>
          <w:sz w:val="20"/>
          <w:szCs w:val="20"/>
        </w:rPr>
        <w:t xml:space="preserve">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p>
      <w:pPr>
        <w:spacing w:after="60" w:before="300"/>
      </w:pPr>
      <w:r>
        <w:rPr>
          <w:rFonts w:ascii="Calibri" w:cs="Calibri" w:eastAsia="Calibri" w:hAnsi="Calibri"/>
          <w:b/>
          <w:bCs/>
          <w:color w:val="1F3864"/>
          <w:sz w:val="21"/>
          <w:szCs w:val="21"/>
        </w:rPr>
        <w:t xml:space="preserve">SUPPLIER</w:t>
      </w:r>
    </w:p>
    <w:p>
      <w:pPr>
        <w:spacing w:after="40"/>
      </w:pPr>
      <w:r>
        <w:rPr>
          <w:rFonts w:ascii="Calibri" w:cs="Calibri" w:eastAsia="Calibri" w:hAnsi="Calibri"/>
          <w:sz w:val="21"/>
          <w:szCs w:val="21"/>
        </w:rPr>
        <w:t xml:space="preserve">Gamma_Co</w:t>
      </w:r>
    </w:p>
    <w:p>
      <w:pPr>
        <w:spacing w:after="40"/>
      </w:pPr>
      <w:r>
        <w:rPr>
          <w:rFonts w:ascii="Calibri" w:cs="Calibri" w:eastAsia="Calibri" w:hAnsi="Calibri"/>
          <w:color w:val="44546A"/>
          <w:sz w:val="20"/>
          <w:szCs w:val="20"/>
        </w:rPr>
        <w:t xml:space="preserve">2100 Industrial Row, Cleveland, Ohio 44109</w:t>
      </w:r>
    </w:p>
    <w:p>
      <w:pPr>
        <w:spacing w:after="40" w:before="300"/>
      </w:pPr>
      <w:r>
        <w:rPr>
          <w:rFonts w:ascii="Calibri" w:cs="Calibri" w:eastAsia="Calibri" w:hAnsi="Calibri"/>
          <w:sz w:val="20"/>
          <w:szCs w:val="20"/>
        </w:rPr>
        <w:t xml:space="preserve">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sectPr>
      <w:headerReference w:type="default" r:id="rId9"/>
      <w:footerReference w:type="default" r:id="rId10"/>
      <w:pgSz w:w="12240" w:h="15840" w:orient="portrait"/>
      <w:pgMar w:top="1080" w:right="1260" w:bottom="1080" w:left="126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NML-SC-GAMMA-2026-005</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NML-SC-GAMMA-2026-005</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Contract — Gamma_Co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Contract — Gamma_Co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2026-07-20T06:53:35.527Z</dcterms:created>
  <dcterms:modified xsi:type="dcterms:W3CDTF">2026-07-20T06:53:35.546Z</dcterms:modified>
</cp:coreProperties>
</file>

<file path=docProps/custom.xml><?xml version="1.0" encoding="utf-8"?>
<Properties xmlns="http://schemas.openxmlformats.org/officeDocument/2006/custom-properties" xmlns:vt="http://schemas.openxmlformats.org/officeDocument/2006/docPropsVTypes"/>
</file>