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rFonts w:ascii="Calibri" w:cs="Calibri" w:eastAsia="Calibri" w:hAnsi="Calibri"/>
          <w:b/>
          <w:bCs/>
          <w:color w:val="1F3A5F"/>
          <w:sz w:val="20"/>
          <w:szCs w:val="20"/>
        </w:rPr>
        <w:t xml:space="preserve">NOVA MANUFACTURING LTD.</w:t>
      </w:r>
    </w:p>
    <w:p>
      <w:pPr>
        <w:spacing w:after="200"/>
        <w:jc w:val="center"/>
      </w:pPr>
      <w:r>
        <w:rPr>
          <w:rFonts w:ascii="Calibri" w:cs="Calibri" w:eastAsia="Calibri" w:hAnsi="Calibri"/>
          <w:b/>
          <w:bCs/>
          <w:color w:val="1F3A5F"/>
          <w:sz w:val="38"/>
          <w:szCs w:val="38"/>
        </w:rPr>
        <w:t xml:space="preserve">SUPPLIER QUALITY INSPECTION REPORT</w:t>
      </w:r>
    </w:p>
    <w:p>
      <w:pPr>
        <w:spacing w:after="80"/>
        <w:jc w:val="center"/>
      </w:pPr>
      <w:r>
        <w:rPr>
          <w:rFonts w:ascii="Calibri" w:cs="Calibri" w:eastAsia="Calibri" w:hAnsi="Calibri"/>
          <w:b/>
          <w:bCs/>
          <w:color w:val="2E5395"/>
          <w:sz w:val="24"/>
          <w:szCs w:val="24"/>
        </w:rPr>
        <w:t xml:space="preserve">Supplier: Delta_Logistics</w:t>
      </w:r>
    </w:p>
    <w:p>
      <w:pPr>
        <w:spacing w:after="60"/>
        <w:jc w:val="center"/>
      </w:pPr>
      <w:r>
        <w:rPr>
          <w:rFonts w:ascii="Calibri" w:cs="Calibri" w:eastAsia="Calibri" w:hAnsi="Calibri"/>
          <w:i/>
          <w:iCs/>
          <w:color w:val="2E5395"/>
          <w:sz w:val="22"/>
          <w:szCs w:val="22"/>
        </w:rPr>
        <w:t xml:space="preserve">Category: Packaging Materials</w:t>
      </w:r>
    </w:p>
    <w:p>
      <w:pPr>
        <w:spacing w:after="400"/>
        <w:jc w:val="center"/>
      </w:pPr>
      <w:r>
        <w:rPr>
          <w:rFonts w:ascii="Calibri" w:cs="Calibri" w:eastAsia="Calibri" w:hAnsi="Calibri"/>
          <w:color w:val="666666"/>
          <w:sz w:val="18"/>
          <w:szCs w:val="18"/>
        </w:rPr>
        <w:t xml:space="preserve">Document ID: NML-QIR-DELTA-2026-013  |  Status: Final</w:t>
      </w:r>
    </w:p>
    <w:p>
      <w:pPr>
        <w:pBdr>
          <w:bottom w:val="single" w:color="AAAAAA" w:sz="6" w:space="1"/>
        </w:pBdr>
        <w:spacing w:after="200"/>
      </w:pPr>
    </w:p>
    <w:p>
      <w:pPr>
        <w:pStyle w:val="Heading1"/>
        <w:pBdr>
          <w:bottom w:val="single" w:color="1F3A5F" w:sz="8" w:space="2"/>
        </w:pBdr>
        <w:spacing w:after="160" w:before="360"/>
      </w:pPr>
      <w:r>
        <w:rPr>
          <w:rFonts w:ascii="Calibri" w:cs="Calibri" w:eastAsia="Calibri" w:hAnsi="Calibri"/>
          <w:b/>
          <w:bCs/>
          <w:color w:val="1F3A5F"/>
          <w:sz w:val="26"/>
          <w:szCs w:val="26"/>
        </w:rPr>
        <w:t xml:space="preserve">1. Report Identification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Document ID</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NML-QIR-DELTA-2026-013</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Version</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1.0</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Status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Final</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Issue Date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June 11, 2026</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Inspection Date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June 10, 2026</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Delivery Date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June 9, 2026</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Purchase Order Number</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NML-PO-2026-05234</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Goods Receipt Number</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NML-GRN-2026-04187</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Reference Contract Number</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NML-SC-DELTA-2026-003</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Supplier Name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Delta_Logistics</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Supplier Address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750 Harbor Industrial Boulevard, Charleston, South Carolina 29405</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Buyer / Receiving Site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Nova Manufacturing Ltd. – Akron, Ohio Receiving Dock, 1200 Foundry Road, Akron, Ohio 44301</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Category</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Packaging Materials</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Inspection Standard Applied</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ANSI/ASQ Z1.4 General Inspection Level I; AQL 4.0 (cosmetic/dimensional), AQL 1.5 (structural)</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2. Products Inspected</w:t>
      </w:r>
    </w:p>
    <w:p>
      <w:pPr>
        <w:spacing w:after="120"/>
      </w:pPr>
      <w:r>
        <w:rPr>
          <w:rFonts w:ascii="Calibri" w:cs="Calibri" w:eastAsia="Calibri" w:hAnsi="Calibri"/>
          <w:color w:val="222222"/>
          <w:sz w:val="20"/>
          <w:szCs w:val="20"/>
        </w:rPr>
        <w:t xml:space="preserve">The following packaging materials were received under Purchase Order NML-PO-2026-05234 against Supplier Contract NML-SC-DELTA-2026-003 and were inspected per ANSI/ASQ Z1.4 General Inspection Level I, AQL 4.0 (cosmetic/dimensional) and AQL 1.5 (structural), consistent with Contract Section 9 (Inspection).</w:t>
      </w:r>
    </w:p>
    <w:p>
      <w:pPr>
        <w:spacing w:after="200"/>
      </w:pP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950"/>
        <w:gridCol w:w="900"/>
        <w:gridCol w:w="900"/>
        <w:gridCol w:w="900"/>
        <w:gridCol w:w="950"/>
        <w:gridCol w:w="1050"/>
      </w:tblGrid>
      <w:tr>
        <w:trPr>
          <w:tblHeader/>
        </w:trPr>
        <w:tc>
          <w:tcPr>
            <w:tcW w:type="dxa" w:w="10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Product
Code</w:t>
            </w:r>
          </w:p>
        </w:tc>
        <w:tc>
          <w:tcPr>
            <w:tcW w:type="dxa" w:w="26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Description</w:t>
            </w:r>
          </w:p>
        </w:tc>
        <w:tc>
          <w:tcPr>
            <w:tcW w:type="dxa" w:w="95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Delivered
Qty</w:t>
            </w:r>
          </w:p>
        </w:tc>
        <w:tc>
          <w:tcPr>
            <w:tcW w:type="dxa" w:w="9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Sample
Size</w:t>
            </w:r>
          </w:p>
        </w:tc>
        <w:tc>
          <w:tcPr>
            <w:tcW w:type="dxa" w:w="9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Accepted</w:t>
            </w:r>
          </w:p>
        </w:tc>
        <w:tc>
          <w:tcPr>
            <w:tcW w:type="dxa" w:w="90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Rejected</w:t>
            </w:r>
          </w:p>
        </w:tc>
        <w:tc>
          <w:tcPr>
            <w:tcW w:type="dxa" w:w="95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Defect
Rate</w:t>
            </w:r>
          </w:p>
        </w:tc>
        <w:tc>
          <w:tcPr>
            <w:tcW w:type="dxa" w:w="1050"/>
            <w:shd w:fill="1F3A5F" w:val="clear"/>
            <w:tcMar>
              <w:top w:type="dxa" w:w="80"/>
              <w:left w:type="dxa" w:w="70"/>
              <w:bottom w:type="dxa" w:w="80"/>
              <w:right w:type="dxa" w:w="70"/>
            </w:tcMar>
            <w:vAlign w:val="center"/>
          </w:tcPr>
          <w:p>
            <w:pPr>
              <w:jc w:val="center"/>
            </w:pPr>
            <w:r>
              <w:rPr>
                <w:rFonts w:ascii="Calibri" w:cs="Calibri" w:eastAsia="Calibri" w:hAnsi="Calibri"/>
                <w:b/>
                <w:bCs/>
                <w:color w:val="FFFFFF"/>
                <w:sz w:val="15"/>
                <w:szCs w:val="15"/>
              </w:rPr>
              <w:t xml:space="preserve">Inspection
Result</w:t>
            </w:r>
          </w:p>
        </w:tc>
      </w:tr>
      <w:tr>
        <w:tc>
          <w:tcPr>
            <w:tcW w:type="dxa" w:w="10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PK-BOX-24C</w:t>
            </w:r>
          </w:p>
        </w:tc>
        <w:tc>
          <w:tcPr>
            <w:tcW w:type="dxa" w:w="2600"/>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Corrugated Cartons, RSC double-wall, 24"x18"x18"</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3000 cartons</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120</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118</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B8860B"/>
                <w:sz w:val="16"/>
                <w:szCs w:val="16"/>
              </w:rPr>
              <w:t xml:space="preserve">2</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1.67%</w:t>
            </w:r>
          </w:p>
        </w:tc>
        <w:tc>
          <w:tcPr>
            <w:tcW w:type="dxa" w:w="1050"/>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PK-WRP-80S</w:t>
            </w:r>
          </w:p>
        </w:tc>
        <w:tc>
          <w:tcPr>
            <w:tcW w:type="dxa" w:w="2600"/>
            <w:shd w:fill="F2F2F2" w:val="clear"/>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Machine-Grade Stretch Film Rolls, 80-gauge</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150 rolls</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45</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44</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B8860B"/>
                <w:sz w:val="16"/>
                <w:szCs w:val="16"/>
              </w:rPr>
              <w:t xml:space="preserve">1</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2.22%</w:t>
            </w:r>
          </w:p>
        </w:tc>
        <w:tc>
          <w:tcPr>
            <w:tcW w:type="dxa" w:w="1050"/>
            <w:shd w:fill="F2F2F2" w:val="clear"/>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PK-BWR-100</w:t>
            </w:r>
          </w:p>
        </w:tc>
        <w:tc>
          <w:tcPr>
            <w:tcW w:type="dxa" w:w="2600"/>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Bubble Wrap Rolls, 3/16", 48" x 250ft</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80 rolls</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25</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25</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0</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0.00%</w:t>
            </w:r>
          </w:p>
        </w:tc>
        <w:tc>
          <w:tcPr>
            <w:tcW w:type="dxa" w:w="1050"/>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PK-CNP-050</w:t>
            </w:r>
          </w:p>
        </w:tc>
        <w:tc>
          <w:tcPr>
            <w:tcW w:type="dxa" w:w="2600"/>
            <w:shd w:fill="F2F2F2" w:val="clear"/>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Pallet Corner Protectors, heavy-duty cardboard</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2000 pieces</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60</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58</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B8860B"/>
                <w:sz w:val="16"/>
                <w:szCs w:val="16"/>
              </w:rPr>
              <w:t xml:space="preserve">2</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3.33%</w:t>
            </w:r>
          </w:p>
        </w:tc>
        <w:tc>
          <w:tcPr>
            <w:tcW w:type="dxa" w:w="1050"/>
            <w:shd w:fill="F2F2F2" w:val="clear"/>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PK-TPE-048</w:t>
            </w:r>
          </w:p>
        </w:tc>
        <w:tc>
          <w:tcPr>
            <w:tcW w:type="dxa" w:w="2600"/>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Packing Tape, 48mm x 100m, acrylic adhesive</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500 rolls</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50</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49</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B8860B"/>
                <w:sz w:val="16"/>
                <w:szCs w:val="16"/>
              </w:rPr>
              <w:t xml:space="preserve">1</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2.00%</w:t>
            </w:r>
          </w:p>
        </w:tc>
        <w:tc>
          <w:tcPr>
            <w:tcW w:type="dxa" w:w="1050"/>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PK-STR-120</w:t>
            </w:r>
          </w:p>
        </w:tc>
        <w:tc>
          <w:tcPr>
            <w:tcW w:type="dxa" w:w="2600"/>
            <w:shd w:fill="F2F2F2" w:val="clear"/>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Plastic Strapping, polypropylene, 1/2"</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40 coils</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20</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19</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B8860B"/>
                <w:sz w:val="16"/>
                <w:szCs w:val="16"/>
              </w:rPr>
              <w:t xml:space="preserve">1</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5.00%</w:t>
            </w:r>
          </w:p>
        </w:tc>
        <w:tc>
          <w:tcPr>
            <w:tcW w:type="dxa" w:w="1050"/>
            <w:shd w:fill="F2F2F2" w:val="clear"/>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PK-PLT-48G</w:t>
            </w:r>
          </w:p>
        </w:tc>
        <w:tc>
          <w:tcPr>
            <w:tcW w:type="dxa" w:w="2600"/>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GMA Standard Wooden Pallets, 48"x40"</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300 pallets</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45</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43</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B8860B"/>
                <w:sz w:val="16"/>
                <w:szCs w:val="16"/>
              </w:rPr>
              <w:t xml:space="preserve">2</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4.44%</w:t>
            </w:r>
          </w:p>
        </w:tc>
        <w:tc>
          <w:tcPr>
            <w:tcW w:type="dxa" w:w="1050"/>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PK-FOM-200</w:t>
            </w:r>
          </w:p>
        </w:tc>
        <w:tc>
          <w:tcPr>
            <w:tcW w:type="dxa" w:w="2600"/>
            <w:shd w:fill="F2F2F2" w:val="clear"/>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Foam Sheets, 1/8" thickness, 48"x96"</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600 sheets</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40</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40</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0</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0.00%</w:t>
            </w:r>
          </w:p>
        </w:tc>
        <w:tc>
          <w:tcPr>
            <w:tcW w:type="dxa" w:w="1050"/>
            <w:shd w:fill="F2F2F2" w:val="clear"/>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PK-SHF-090</w:t>
            </w:r>
          </w:p>
        </w:tc>
        <w:tc>
          <w:tcPr>
            <w:tcW w:type="dxa" w:w="2600"/>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Shrink Film, 90-gauge, 20" x 3,000ft</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120 rolls</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30</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29</w:t>
            </w:r>
          </w:p>
        </w:tc>
        <w:tc>
          <w:tcPr>
            <w:tcW w:type="dxa" w:w="900"/>
            <w:tcMar>
              <w:top w:type="dxa" w:w="70"/>
              <w:left w:type="dxa" w:w="70"/>
              <w:bottom w:type="dxa" w:w="70"/>
              <w:right w:type="dxa" w:w="70"/>
            </w:tcMar>
            <w:vAlign w:val="center"/>
          </w:tcPr>
          <w:p>
            <w:pPr>
              <w:jc w:val="center"/>
            </w:pPr>
            <w:r>
              <w:rPr>
                <w:rFonts w:ascii="Calibri" w:cs="Calibri" w:eastAsia="Calibri" w:hAnsi="Calibri"/>
                <w:b w:val="false"/>
                <w:bCs w:val="false"/>
                <w:color w:val="B8860B"/>
                <w:sz w:val="16"/>
                <w:szCs w:val="16"/>
              </w:rPr>
              <w:t xml:space="preserve">1</w:t>
            </w:r>
          </w:p>
        </w:tc>
        <w:tc>
          <w:tcPr>
            <w:tcW w:type="dxa" w:w="950"/>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3.33%</w:t>
            </w:r>
          </w:p>
        </w:tc>
        <w:tc>
          <w:tcPr>
            <w:tcW w:type="dxa" w:w="1050"/>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shd w:fill="F2F2F2" w:val="clear"/>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PK-INS-075</w:t>
            </w:r>
          </w:p>
        </w:tc>
        <w:tc>
          <w:tcPr>
            <w:tcW w:type="dxa" w:w="2600"/>
            <w:shd w:fill="F2F2F2" w:val="clear"/>
            <w:tcMar>
              <w:top w:type="dxa" w:w="70"/>
              <w:left w:type="dxa" w:w="70"/>
              <w:bottom w:type="dxa" w:w="70"/>
              <w:right w:type="dxa" w:w="70"/>
            </w:tcMar>
            <w:vAlign w:val="center"/>
          </w:tcPr>
          <w:p>
            <w:pPr>
              <w:jc w:val="left"/>
            </w:pPr>
            <w:r>
              <w:rPr>
                <w:rFonts w:ascii="Calibri" w:cs="Calibri" w:eastAsia="Calibri" w:hAnsi="Calibri"/>
                <w:b w:val="false"/>
                <w:bCs w:val="false"/>
                <w:color w:val="222222"/>
                <w:sz w:val="16"/>
                <w:szCs w:val="16"/>
              </w:rPr>
              <w:t xml:space="preserve">Protective Packaging Inserts, die-cut foam</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1000 pieces</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50</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48</w:t>
            </w:r>
          </w:p>
        </w:tc>
        <w:tc>
          <w:tcPr>
            <w:tcW w:type="dxa" w:w="90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B8860B"/>
                <w:sz w:val="16"/>
                <w:szCs w:val="16"/>
              </w:rPr>
              <w:t xml:space="preserve">2</w:t>
            </w:r>
          </w:p>
        </w:tc>
        <w:tc>
          <w:tcPr>
            <w:tcW w:type="dxa" w:w="950"/>
            <w:shd w:fill="F2F2F2" w:val="clear"/>
            <w:tcMar>
              <w:top w:type="dxa" w:w="70"/>
              <w:left w:type="dxa" w:w="70"/>
              <w:bottom w:type="dxa" w:w="70"/>
              <w:right w:type="dxa" w:w="70"/>
            </w:tcMar>
            <w:vAlign w:val="center"/>
          </w:tcPr>
          <w:p>
            <w:pPr>
              <w:jc w:val="center"/>
            </w:pPr>
            <w:r>
              <w:rPr>
                <w:rFonts w:ascii="Calibri" w:cs="Calibri" w:eastAsia="Calibri" w:hAnsi="Calibri"/>
                <w:b w:val="false"/>
                <w:bCs w:val="false"/>
                <w:color w:val="222222"/>
                <w:sz w:val="16"/>
                <w:szCs w:val="16"/>
              </w:rPr>
              <w:t xml:space="preserve">4.00%</w:t>
            </w:r>
          </w:p>
        </w:tc>
        <w:tc>
          <w:tcPr>
            <w:tcW w:type="dxa" w:w="1050"/>
            <w:shd w:fill="F2F2F2" w:val="clear"/>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r>
        <w:tc>
          <w:tcPr>
            <w:tcW w:type="dxa" w:w="10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TOTAL</w:t>
            </w:r>
          </w:p>
        </w:tc>
        <w:tc>
          <w:tcPr>
            <w:tcW w:type="dxa" w:w="2600"/>
            <w:tcMar>
              <w:top w:type="dxa" w:w="70"/>
              <w:left w:type="dxa" w:w="70"/>
              <w:bottom w:type="dxa" w:w="70"/>
              <w:right w:type="dxa" w:w="70"/>
            </w:tcMar>
            <w:vAlign w:val="center"/>
          </w:tcPr>
          <w:p>
            <w:pPr>
              <w:jc w:val="left"/>
            </w:pPr>
            <w:r>
              <w:rPr>
                <w:rFonts w:ascii="Calibri" w:cs="Calibri" w:eastAsia="Calibri" w:hAnsi="Calibri"/>
                <w:b/>
                <w:bCs/>
                <w:color w:val="222222"/>
                <w:sz w:val="16"/>
                <w:szCs w:val="16"/>
              </w:rPr>
              <w:t xml:space="preserve">All Products Inspected</w:t>
            </w:r>
          </w:p>
        </w:tc>
        <w:tc>
          <w:tcPr>
            <w:tcW w:type="dxa" w:w="95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w:t>
            </w:r>
          </w:p>
        </w:tc>
        <w:tc>
          <w:tcPr>
            <w:tcW w:type="dxa" w:w="9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485</w:t>
            </w:r>
          </w:p>
        </w:tc>
        <w:tc>
          <w:tcPr>
            <w:tcW w:type="dxa" w:w="90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473</w:t>
            </w:r>
          </w:p>
        </w:tc>
        <w:tc>
          <w:tcPr>
            <w:tcW w:type="dxa" w:w="900"/>
            <w:tcMar>
              <w:top w:type="dxa" w:w="70"/>
              <w:left w:type="dxa" w:w="70"/>
              <w:bottom w:type="dxa" w:w="70"/>
              <w:right w:type="dxa" w:w="70"/>
            </w:tcMar>
            <w:vAlign w:val="center"/>
          </w:tcPr>
          <w:p>
            <w:pPr>
              <w:jc w:val="center"/>
            </w:pPr>
            <w:r>
              <w:rPr>
                <w:rFonts w:ascii="Calibri" w:cs="Calibri" w:eastAsia="Calibri" w:hAnsi="Calibri"/>
                <w:b/>
                <w:bCs/>
                <w:color w:val="B8860B"/>
                <w:sz w:val="16"/>
                <w:szCs w:val="16"/>
              </w:rPr>
              <w:t xml:space="preserve">12</w:t>
            </w:r>
          </w:p>
        </w:tc>
        <w:tc>
          <w:tcPr>
            <w:tcW w:type="dxa" w:w="950"/>
            <w:tcMar>
              <w:top w:type="dxa" w:w="70"/>
              <w:left w:type="dxa" w:w="70"/>
              <w:bottom w:type="dxa" w:w="70"/>
              <w:right w:type="dxa" w:w="70"/>
            </w:tcMar>
            <w:vAlign w:val="center"/>
          </w:tcPr>
          <w:p>
            <w:pPr>
              <w:jc w:val="center"/>
            </w:pPr>
            <w:r>
              <w:rPr>
                <w:rFonts w:ascii="Calibri" w:cs="Calibri" w:eastAsia="Calibri" w:hAnsi="Calibri"/>
                <w:b/>
                <w:bCs/>
                <w:color w:val="222222"/>
                <w:sz w:val="16"/>
                <w:szCs w:val="16"/>
              </w:rPr>
              <w:t xml:space="preserve">2.47%</w:t>
            </w:r>
          </w:p>
        </w:tc>
        <w:tc>
          <w:tcPr>
            <w:tcW w:type="dxa" w:w="1050"/>
            <w:tcMar>
              <w:top w:type="dxa" w:w="70"/>
              <w:left w:type="dxa" w:w="70"/>
              <w:bottom w:type="dxa" w:w="70"/>
              <w:right w:type="dxa" w:w="70"/>
            </w:tcMar>
            <w:vAlign w:val="center"/>
          </w:tcPr>
          <w:p>
            <w:pPr>
              <w:jc w:val="center"/>
            </w:pPr>
            <w:r>
              <w:rPr>
                <w:rFonts w:ascii="Calibri" w:cs="Calibri" w:eastAsia="Calibri" w:hAnsi="Calibri"/>
                <w:b/>
                <w:bCs/>
                <w:color w:val="2E7D32"/>
                <w:sz w:val="16"/>
                <w:szCs w:val="16"/>
              </w:rPr>
              <w:t xml:space="preserve">Accepted</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3. Inspection Findings</w:t>
      </w:r>
    </w:p>
    <w:p>
      <w:pPr>
        <w:pStyle w:val="ListParagraph"/>
        <w:numPr>
          <w:ilvl w:val="0"/>
          <w:numId w:val="1"/>
        </w:numPr>
        <w:spacing w:after="80"/>
      </w:pPr>
      <w:r>
        <w:rPr>
          <w:rFonts w:ascii="Calibri" w:cs="Calibri" w:eastAsia="Calibri" w:hAnsi="Calibri"/>
          <w:color w:val="222222"/>
          <w:sz w:val="20"/>
          <w:szCs w:val="20"/>
        </w:rPr>
        <w:t xml:space="preserve">PK-BOX-24C (Corrugated Cartons): Two (2) units exhibited minor carton compression below specification, with Edge Crush Test (ECT) results marginally under the 48 ECT target; remaining sampled units conformed to specification.</w:t>
      </w:r>
    </w:p>
    <w:p>
      <w:pPr>
        <w:pStyle w:val="ListParagraph"/>
        <w:numPr>
          <w:ilvl w:val="0"/>
          <w:numId w:val="1"/>
        </w:numPr>
        <w:spacing w:after="80"/>
      </w:pPr>
      <w:r>
        <w:rPr>
          <w:rFonts w:ascii="Calibri" w:cs="Calibri" w:eastAsia="Calibri" w:hAnsi="Calibri"/>
          <w:color w:val="222222"/>
          <w:sz w:val="20"/>
          <w:szCs w:val="20"/>
        </w:rPr>
        <w:t xml:space="preserve">PK-WRP-80S (Stretch Film Rolls): One (1) unit exhibited slight stretch film thickness variation outside the nominal 80-gauge tolerance band; elongation performance remained within acceptable range.</w:t>
      </w:r>
    </w:p>
    <w:p>
      <w:pPr>
        <w:pStyle w:val="ListParagraph"/>
        <w:numPr>
          <w:ilvl w:val="0"/>
          <w:numId w:val="1"/>
        </w:numPr>
        <w:spacing w:after="80"/>
      </w:pPr>
      <w:r>
        <w:rPr>
          <w:rFonts w:ascii="Calibri" w:cs="Calibri" w:eastAsia="Calibri" w:hAnsi="Calibri"/>
          <w:color w:val="222222"/>
          <w:sz w:val="20"/>
          <w:szCs w:val="20"/>
        </w:rPr>
        <w:t xml:space="preserve">PK-BWR-100 (Bubble Wrap Rolls): Bubble wrap air retention was assessed as acceptable across all sampled units, with no premature deflation observed.</w:t>
      </w:r>
    </w:p>
    <w:p>
      <w:pPr>
        <w:pStyle w:val="ListParagraph"/>
        <w:numPr>
          <w:ilvl w:val="0"/>
          <w:numId w:val="1"/>
        </w:numPr>
        <w:spacing w:after="80"/>
      </w:pPr>
      <w:r>
        <w:rPr>
          <w:rFonts w:ascii="Calibri" w:cs="Calibri" w:eastAsia="Calibri" w:hAnsi="Calibri"/>
          <w:color w:val="222222"/>
          <w:sz w:val="20"/>
          <w:szCs w:val="20"/>
        </w:rPr>
        <w:t xml:space="preserve">PK-CNP-050 (Pallet Corner Protectors): Two (2) units showed minor dimensional undersize relative to specification; fit and load-bearing function were not materially affected.</w:t>
      </w:r>
    </w:p>
    <w:p>
      <w:pPr>
        <w:pStyle w:val="ListParagraph"/>
        <w:numPr>
          <w:ilvl w:val="0"/>
          <w:numId w:val="1"/>
        </w:numPr>
        <w:spacing w:after="80"/>
      </w:pPr>
      <w:r>
        <w:rPr>
          <w:rFonts w:ascii="Calibri" w:cs="Calibri" w:eastAsia="Calibri" w:hAnsi="Calibri"/>
          <w:color w:val="222222"/>
          <w:sz w:val="20"/>
          <w:szCs w:val="20"/>
        </w:rPr>
        <w:t xml:space="preserve">PK-TPE-048 (Packing Tape): One (1) unit showed adhesion marginally below specification during peel-strength spot check; all other sampled units met tape adhesion specification.</w:t>
      </w:r>
    </w:p>
    <w:p>
      <w:pPr>
        <w:pStyle w:val="ListParagraph"/>
        <w:numPr>
          <w:ilvl w:val="0"/>
          <w:numId w:val="1"/>
        </w:numPr>
        <w:spacing w:after="80"/>
      </w:pPr>
      <w:r>
        <w:rPr>
          <w:rFonts w:ascii="Calibri" w:cs="Calibri" w:eastAsia="Calibri" w:hAnsi="Calibri"/>
          <w:color w:val="222222"/>
          <w:sz w:val="20"/>
          <w:szCs w:val="20"/>
        </w:rPr>
        <w:t xml:space="preserve">PK-STR-120 (Plastic Strapping): One (1) coil exhibited tensile strength slightly below the rated specification during pull testing.</w:t>
      </w:r>
    </w:p>
    <w:p>
      <w:pPr>
        <w:pStyle w:val="ListParagraph"/>
        <w:numPr>
          <w:ilvl w:val="0"/>
          <w:numId w:val="1"/>
        </w:numPr>
        <w:spacing w:after="80"/>
      </w:pPr>
      <w:r>
        <w:rPr>
          <w:rFonts w:ascii="Calibri" w:cs="Calibri" w:eastAsia="Calibri" w:hAnsi="Calibri"/>
          <w:color w:val="222222"/>
          <w:sz w:val="20"/>
          <w:szCs w:val="20"/>
        </w:rPr>
        <w:t xml:space="preserve">PK-PLT-48G (Wooden Pallets): Two (2) units showed minor pallet surface scratches consistent with normal handling; no structural cracking or stringer damage observed.</w:t>
      </w:r>
    </w:p>
    <w:p>
      <w:pPr>
        <w:pStyle w:val="ListParagraph"/>
        <w:numPr>
          <w:ilvl w:val="0"/>
          <w:numId w:val="1"/>
        </w:numPr>
        <w:spacing w:after="80"/>
      </w:pPr>
      <w:r>
        <w:rPr>
          <w:rFonts w:ascii="Calibri" w:cs="Calibri" w:eastAsia="Calibri" w:hAnsi="Calibri"/>
          <w:color w:val="222222"/>
          <w:sz w:val="20"/>
          <w:szCs w:val="20"/>
        </w:rPr>
        <w:t xml:space="preserve">PK-FOM-200 (Foam Sheets): Packaging dimensions were within tolerance on all sampled units, with consistent thickness and density.</w:t>
      </w:r>
    </w:p>
    <w:p>
      <w:pPr>
        <w:pStyle w:val="ListParagraph"/>
        <w:numPr>
          <w:ilvl w:val="0"/>
          <w:numId w:val="1"/>
        </w:numPr>
        <w:spacing w:after="80"/>
      </w:pPr>
      <w:r>
        <w:rPr>
          <w:rFonts w:ascii="Calibri" w:cs="Calibri" w:eastAsia="Calibri" w:hAnsi="Calibri"/>
          <w:color w:val="222222"/>
          <w:sz w:val="20"/>
          <w:szCs w:val="20"/>
        </w:rPr>
        <w:t xml:space="preserve">PK-SHF-090 (Shrink Film): One (1) roll showed a minor inconsistency in shrink film sealing; all other sampled units demonstrated acceptable seal integrity.</w:t>
      </w:r>
    </w:p>
    <w:p>
      <w:pPr>
        <w:pStyle w:val="ListParagraph"/>
        <w:numPr>
          <w:ilvl w:val="0"/>
          <w:numId w:val="1"/>
        </w:numPr>
        <w:spacing w:after="80"/>
      </w:pPr>
      <w:r>
        <w:rPr>
          <w:rFonts w:ascii="Calibri" w:cs="Calibri" w:eastAsia="Calibri" w:hAnsi="Calibri"/>
          <w:color w:val="222222"/>
          <w:sz w:val="20"/>
          <w:szCs w:val="20"/>
        </w:rPr>
        <w:t xml:space="preserve">PK-INS-075 (Protective Packaging Inserts): Two (2) units showed minor dimensional variance from the die-cut specification; cushioning performance was not affected.</w:t>
      </w:r>
    </w:p>
    <w:p>
      <w:pPr>
        <w:pStyle w:val="ListParagraph"/>
        <w:numPr>
          <w:ilvl w:val="0"/>
          <w:numId w:val="1"/>
        </w:numPr>
        <w:spacing w:after="80"/>
      </w:pPr>
      <w:r>
        <w:rPr>
          <w:rFonts w:ascii="Calibri" w:cs="Calibri" w:eastAsia="Calibri" w:hAnsi="Calibri"/>
          <w:color w:val="222222"/>
          <w:sz w:val="20"/>
          <w:szCs w:val="20"/>
        </w:rPr>
        <w:t xml:space="preserve">Print alignment on printed carton and label stock was assessed as acceptable across all sampled lines, and packaging labels remained fully readable.</w:t>
      </w:r>
    </w:p>
    <w:p>
      <w:pPr>
        <w:pStyle w:val="ListParagraph"/>
        <w:numPr>
          <w:ilvl w:val="0"/>
          <w:numId w:val="1"/>
        </w:numPr>
        <w:spacing w:after="80"/>
      </w:pPr>
      <w:r>
        <w:rPr>
          <w:rFonts w:ascii="Calibri" w:cs="Calibri" w:eastAsia="Calibri" w:hAnsi="Calibri"/>
          <w:color w:val="222222"/>
          <w:sz w:val="20"/>
          <w:szCs w:val="20"/>
        </w:rPr>
        <w:t xml:space="preserve">No transportation damage was observed on any inbound pallet or unit load at the time of receiving inspection.</w:t>
      </w:r>
    </w:p>
    <w:p>
      <w:pPr>
        <w:pStyle w:val="Heading1"/>
        <w:pBdr>
          <w:bottom w:val="single" w:color="1F3A5F" w:sz="8" w:space="2"/>
        </w:pBdr>
        <w:spacing w:after="160" w:before="360"/>
      </w:pPr>
      <w:r>
        <w:rPr>
          <w:rFonts w:ascii="Calibri" w:cs="Calibri" w:eastAsia="Calibri" w:hAnsi="Calibri"/>
          <w:b/>
          <w:bCs/>
          <w:color w:val="1F3A5F"/>
          <w:sz w:val="26"/>
          <w:szCs w:val="26"/>
        </w:rPr>
        <w:t xml:space="preserve">4. Root Cause Analysis</w:t>
      </w:r>
    </w:p>
    <w:p>
      <w:pPr>
        <w:spacing w:after="120"/>
      </w:pPr>
      <w:r>
        <w:rPr>
          <w:rFonts w:ascii="Calibri" w:cs="Calibri" w:eastAsia="Calibri" w:hAnsi="Calibri"/>
          <w:color w:val="222222"/>
          <w:sz w:val="20"/>
          <w:szCs w:val="20"/>
        </w:rPr>
        <w:t xml:space="preserve">All observed deviations are classified as minor quality observations. No systemic packaging failure, safety concern, or material nonconformance was identified.</w:t>
      </w:r>
    </w:p>
    <w:p>
      <w:pPr>
        <w:pStyle w:val="ListParagraph"/>
        <w:numPr>
          <w:ilvl w:val="0"/>
          <w:numId w:val="1"/>
        </w:numPr>
        <w:spacing w:after="80"/>
      </w:pPr>
      <w:r>
        <w:rPr>
          <w:rFonts w:ascii="Calibri" w:cs="Calibri" w:eastAsia="Calibri" w:hAnsi="Calibri"/>
          <w:color w:val="222222"/>
          <w:sz w:val="20"/>
          <w:szCs w:val="20"/>
        </w:rPr>
        <w:t xml:space="preserve">Packaging machine calibration drift at Supplier's Charleston, SC facility is the likely contributor to the isolated carton compression and stretch film thickness observations (PK-BOX-24C, PK-WRP-80S).</w:t>
      </w:r>
    </w:p>
    <w:p>
      <w:pPr>
        <w:pStyle w:val="ListParagraph"/>
        <w:numPr>
          <w:ilvl w:val="0"/>
          <w:numId w:val="1"/>
        </w:numPr>
        <w:spacing w:after="80"/>
      </w:pPr>
      <w:r>
        <w:rPr>
          <w:rFonts w:ascii="Calibri" w:cs="Calibri" w:eastAsia="Calibri" w:hAnsi="Calibri"/>
          <w:color w:val="222222"/>
          <w:sz w:val="20"/>
          <w:szCs w:val="20"/>
        </w:rPr>
        <w:t xml:space="preserve">Minor variation in raw packaging material (cardboard stock, strapping resin) accounts for the isolated dimensional and tensile strength observations on corner protectors and plastic strapping (PK-CNP-050, PK-STR-120).</w:t>
      </w:r>
    </w:p>
    <w:p>
      <w:pPr>
        <w:pStyle w:val="ListParagraph"/>
        <w:numPr>
          <w:ilvl w:val="0"/>
          <w:numId w:val="1"/>
        </w:numPr>
        <w:spacing w:after="80"/>
      </w:pPr>
      <w:r>
        <w:rPr>
          <w:rFonts w:ascii="Calibri" w:cs="Calibri" w:eastAsia="Calibri" w:hAnsi="Calibri"/>
          <w:color w:val="222222"/>
          <w:sz w:val="20"/>
          <w:szCs w:val="20"/>
        </w:rPr>
        <w:t xml:space="preserve">Transportation handling during transit is the probable cause of the minor pallet surface scratches observed (PK-PLT-48G); no structural integrity impact was noted.</w:t>
      </w:r>
    </w:p>
    <w:p>
      <w:pPr>
        <w:pStyle w:val="ListParagraph"/>
        <w:numPr>
          <w:ilvl w:val="0"/>
          <w:numId w:val="1"/>
        </w:numPr>
        <w:spacing w:after="80"/>
      </w:pPr>
      <w:r>
        <w:rPr>
          <w:rFonts w:ascii="Calibri" w:cs="Calibri" w:eastAsia="Calibri" w:hAnsi="Calibri"/>
          <w:color w:val="222222"/>
          <w:sz w:val="20"/>
          <w:szCs w:val="20"/>
        </w:rPr>
        <w:t xml:space="preserve">Isolated tape adhesion and shrink film sealing variances are attributable to normal manufacturing tolerance and are not indicative of a systemic process failure (PK-TPE-048, PK-SHF-090, PK-INS-075).</w:t>
      </w:r>
    </w:p>
    <w:p>
      <w:pPr>
        <w:pStyle w:val="ListParagraph"/>
        <w:numPr>
          <w:ilvl w:val="0"/>
          <w:numId w:val="1"/>
        </w:numPr>
        <w:spacing w:after="80"/>
      </w:pPr>
      <w:r>
        <w:rPr>
          <w:rFonts w:ascii="Calibri" w:cs="Calibri" w:eastAsia="Calibri" w:hAnsi="Calibri"/>
          <w:color w:val="222222"/>
          <w:sz w:val="20"/>
          <w:szCs w:val="20"/>
        </w:rPr>
        <w:t xml:space="preserve">No root cause identified points to a material nonconformance, safety issue, or breach of Contract Section 8 (Quality Standards); all deviations are classified as minor quality observations.</w:t>
      </w:r>
    </w:p>
    <w:p>
      <w:pPr>
        <w:pStyle w:val="Heading1"/>
        <w:pBdr>
          <w:bottom w:val="single" w:color="1F3A5F" w:sz="8" w:space="2"/>
        </w:pBdr>
        <w:spacing w:after="160" w:before="360"/>
      </w:pPr>
      <w:r>
        <w:rPr>
          <w:rFonts w:ascii="Calibri" w:cs="Calibri" w:eastAsia="Calibri" w:hAnsi="Calibri"/>
          <w:b/>
          <w:bCs/>
          <w:color w:val="1F3A5F"/>
          <w:sz w:val="26"/>
          <w:szCs w:val="26"/>
        </w:rPr>
        <w:t xml:space="preserve">5. Corrective Actions</w:t>
      </w:r>
    </w:p>
    <w:p>
      <w:pPr>
        <w:pStyle w:val="ListParagraph"/>
        <w:numPr>
          <w:ilvl w:val="0"/>
          <w:numId w:val="1"/>
        </w:numPr>
        <w:spacing w:after="80"/>
      </w:pPr>
      <w:r>
        <w:rPr>
          <w:rFonts w:ascii="Calibri" w:cs="Calibri" w:eastAsia="Calibri" w:hAnsi="Calibri"/>
          <w:color w:val="222222"/>
          <w:sz w:val="20"/>
          <w:szCs w:val="20"/>
        </w:rPr>
        <w:t xml:space="preserve">Increase packaging compression testing frequency for corrugated carton lots, with documented Edge Crush Test (ECT) results retained per lot.</w:t>
      </w:r>
    </w:p>
    <w:p>
      <w:pPr>
        <w:pStyle w:val="ListParagraph"/>
        <w:numPr>
          <w:ilvl w:val="0"/>
          <w:numId w:val="1"/>
        </w:numPr>
        <w:spacing w:after="80"/>
      </w:pPr>
      <w:r>
        <w:rPr>
          <w:rFonts w:ascii="Calibri" w:cs="Calibri" w:eastAsia="Calibri" w:hAnsi="Calibri"/>
          <w:color w:val="222222"/>
          <w:sz w:val="20"/>
          <w:szCs w:val="20"/>
        </w:rPr>
        <w:t xml:space="preserve">Improve pallet inspection process at the point of loading to identify and segregate units with surface damage prior to shipment.</w:t>
      </w:r>
    </w:p>
    <w:p>
      <w:pPr>
        <w:pStyle w:val="ListParagraph"/>
        <w:numPr>
          <w:ilvl w:val="0"/>
          <w:numId w:val="1"/>
        </w:numPr>
        <w:spacing w:after="80"/>
      </w:pPr>
      <w:r>
        <w:rPr>
          <w:rFonts w:ascii="Calibri" w:cs="Calibri" w:eastAsia="Calibri" w:hAnsi="Calibri"/>
          <w:color w:val="222222"/>
          <w:sz w:val="20"/>
          <w:szCs w:val="20"/>
        </w:rPr>
        <w:t xml:space="preserve">Review packaging machine calibration schedule for stretch film and shrink film extrusion lines, with calibration verification at a defined interval.</w:t>
      </w:r>
    </w:p>
    <w:p>
      <w:pPr>
        <w:pStyle w:val="ListParagraph"/>
        <w:numPr>
          <w:ilvl w:val="0"/>
          <w:numId w:val="1"/>
        </w:numPr>
        <w:spacing w:after="80"/>
      </w:pPr>
      <w:r>
        <w:rPr>
          <w:rFonts w:ascii="Calibri" w:cs="Calibri" w:eastAsia="Calibri" w:hAnsi="Calibri"/>
          <w:color w:val="222222"/>
          <w:sz w:val="20"/>
          <w:szCs w:val="20"/>
        </w:rPr>
        <w:t xml:space="preserve">Increase final packaging quality inspection sampling for corner protectors and strapping to catch raw-material-driven dimensional variance earlier in the process.</w:t>
      </w:r>
    </w:p>
    <w:p>
      <w:pPr>
        <w:pStyle w:val="ListParagraph"/>
        <w:numPr>
          <w:ilvl w:val="0"/>
          <w:numId w:val="1"/>
        </w:numPr>
        <w:spacing w:after="80"/>
      </w:pPr>
      <w:r>
        <w:rPr>
          <w:rFonts w:ascii="Calibri" w:cs="Calibri" w:eastAsia="Calibri" w:hAnsi="Calibri"/>
          <w:color w:val="222222"/>
          <w:sz w:val="20"/>
          <w:szCs w:val="20"/>
        </w:rPr>
        <w:t xml:space="preserve">Strengthen transportation inspection checklist to formally document surface-condition checks for wooden pallets and cartons at both dispatch and receipt.</w:t>
      </w:r>
    </w:p>
    <w:p>
      <w:pPr>
        <w:pStyle w:val="ListParagraph"/>
        <w:numPr>
          <w:ilvl w:val="0"/>
          <w:numId w:val="1"/>
        </w:numPr>
        <w:spacing w:after="80"/>
      </w:pPr>
      <w:r>
        <w:rPr>
          <w:rFonts w:ascii="Calibri" w:cs="Calibri" w:eastAsia="Calibri" w:hAnsi="Calibri"/>
          <w:color w:val="222222"/>
          <w:sz w:val="20"/>
          <w:szCs w:val="20"/>
        </w:rPr>
        <w:t xml:space="preserve">Supplier to provide a documented corrective action response within 10 business days of this report, consistent with Contract Section 9 (Inspection) notification requirements.</w:t>
      </w:r>
    </w:p>
    <w:p>
      <w:pPr>
        <w:pStyle w:val="Heading1"/>
        <w:pBdr>
          <w:bottom w:val="single" w:color="1F3A5F" w:sz="8" w:space="2"/>
        </w:pBdr>
        <w:spacing w:after="160" w:before="360"/>
      </w:pPr>
      <w:r>
        <w:rPr>
          <w:rFonts w:ascii="Calibri" w:cs="Calibri" w:eastAsia="Calibri" w:hAnsi="Calibri"/>
          <w:b/>
          <w:bCs/>
          <w:color w:val="1F3A5F"/>
          <w:sz w:val="26"/>
          <w:szCs w:val="26"/>
        </w:rPr>
        <w:t xml:space="preserve">6. Compliance Evaluation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000"/>
        <w:gridCol w:w="6440"/>
      </w:tblGrid>
      <w:tr>
        <w:tc>
          <w:tcPr>
            <w:tcW w:type="dxa" w:w="30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Packaging Quality</w:t>
            </w:r>
          </w:p>
        </w:tc>
        <w:tc>
          <w:tcPr>
            <w:tcW w:type="dxa" w:w="6440"/>
            <w:tcMar>
              <w:top w:type="dxa" w:w="80"/>
              <w:left w:type="dxa" w:w="120"/>
              <w:bottom w:type="dxa" w:w="80"/>
              <w:right w:type="dxa" w:w="120"/>
            </w:tcMar>
            <w:vAlign w:val="center"/>
          </w:tcPr>
          <w:p>
            <w:r>
              <w:rPr>
                <w:rFonts w:ascii="Calibri" w:cs="Calibri" w:eastAsia="Calibri" w:hAnsi="Calibri"/>
                <w:color w:val="222222"/>
                <w:sz w:val="19"/>
                <w:szCs w:val="19"/>
              </w:rPr>
              <w:t xml:space="preserve">Compliant (Minor Observation) – isolated carton compression, film thickness, and dimensional variances noted; overall conformity 91%</w:t>
            </w:r>
          </w:p>
        </w:tc>
      </w:tr>
      <w:tr>
        <w:tc>
          <w:tcPr>
            <w:tcW w:type="dxa" w:w="30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Label Accuracy</w:t>
            </w:r>
          </w:p>
        </w:tc>
        <w:tc>
          <w:tcPr>
            <w:tcW w:type="dxa" w:w="6440"/>
            <w:tcMar>
              <w:top w:type="dxa" w:w="80"/>
              <w:left w:type="dxa" w:w="120"/>
              <w:bottom w:type="dxa" w:w="80"/>
              <w:right w:type="dxa" w:w="120"/>
            </w:tcMar>
            <w:vAlign w:val="center"/>
          </w:tcPr>
          <w:p>
            <w:r>
              <w:rPr>
                <w:rFonts w:ascii="Calibri" w:cs="Calibri" w:eastAsia="Calibri" w:hAnsi="Calibri"/>
                <w:color w:val="222222"/>
                <w:sz w:val="19"/>
                <w:szCs w:val="19"/>
              </w:rPr>
              <w:t xml:space="preserve">Fully Compliant – packaging labels readable and accurate on all sampled units; print alignment acceptable</w:t>
            </w:r>
          </w:p>
        </w:tc>
      </w:tr>
      <w:tr>
        <w:tc>
          <w:tcPr>
            <w:tcW w:type="dxa" w:w="30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Packaging Strength</w:t>
            </w:r>
          </w:p>
        </w:tc>
        <w:tc>
          <w:tcPr>
            <w:tcW w:type="dxa" w:w="6440"/>
            <w:tcMar>
              <w:top w:type="dxa" w:w="80"/>
              <w:left w:type="dxa" w:w="120"/>
              <w:bottom w:type="dxa" w:w="80"/>
              <w:right w:type="dxa" w:w="120"/>
            </w:tcMar>
            <w:vAlign w:val="center"/>
          </w:tcPr>
          <w:p>
            <w:r>
              <w:rPr>
                <w:rFonts w:ascii="Calibri" w:cs="Calibri" w:eastAsia="Calibri" w:hAnsi="Calibri"/>
                <w:color w:val="222222"/>
                <w:sz w:val="19"/>
                <w:szCs w:val="19"/>
              </w:rPr>
              <w:t xml:space="preserve">Compliant (Minor Observation) – isolated ECT and tensile strength results marginally below target; no failures under normal handling conditions</w:t>
            </w:r>
          </w:p>
        </w:tc>
      </w:tr>
      <w:tr>
        <w:tc>
          <w:tcPr>
            <w:tcW w:type="dxa" w:w="30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Delivery Documentation</w:t>
            </w:r>
          </w:p>
        </w:tc>
        <w:tc>
          <w:tcPr>
            <w:tcW w:type="dxa" w:w="6440"/>
            <w:tcMar>
              <w:top w:type="dxa" w:w="80"/>
              <w:left w:type="dxa" w:w="120"/>
              <w:bottom w:type="dxa" w:w="80"/>
              <w:right w:type="dxa" w:w="120"/>
            </w:tcMar>
            <w:vAlign w:val="center"/>
          </w:tcPr>
          <w:p>
            <w:r>
              <w:rPr>
                <w:rFonts w:ascii="Calibri" w:cs="Calibri" w:eastAsia="Calibri" w:hAnsi="Calibri"/>
                <w:color w:val="222222"/>
                <w:sz w:val="19"/>
                <w:szCs w:val="19"/>
              </w:rPr>
              <w:t xml:space="preserve">Fully Compliant – shipment documentation, invoice, and Goods Receipt Note reconciled without discrepancy</w:t>
            </w:r>
          </w:p>
        </w:tc>
      </w:tr>
      <w:tr>
        <w:tc>
          <w:tcPr>
            <w:tcW w:type="dxa" w:w="30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ISO 9001 Compliance</w:t>
            </w:r>
          </w:p>
        </w:tc>
        <w:tc>
          <w:tcPr>
            <w:tcW w:type="dxa" w:w="6440"/>
            <w:tcMar>
              <w:top w:type="dxa" w:w="80"/>
              <w:left w:type="dxa" w:w="120"/>
              <w:bottom w:type="dxa" w:w="80"/>
              <w:right w:type="dxa" w:w="120"/>
            </w:tcMar>
            <w:vAlign w:val="center"/>
          </w:tcPr>
          <w:p>
            <w:r>
              <w:rPr>
                <w:rFonts w:ascii="Calibri" w:cs="Calibri" w:eastAsia="Calibri" w:hAnsi="Calibri"/>
                <w:color w:val="222222"/>
                <w:sz w:val="19"/>
                <w:szCs w:val="19"/>
              </w:rPr>
              <w:t xml:space="preserve">Compliant – Supplier maintains active ISO 9001:2015 certification as required under Contract Section 8</w:t>
            </w:r>
          </w:p>
        </w:tc>
      </w:tr>
      <w:tr>
        <w:tc>
          <w:tcPr>
            <w:tcW w:type="dxa" w:w="30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Product Protection Performance</w:t>
            </w:r>
          </w:p>
        </w:tc>
        <w:tc>
          <w:tcPr>
            <w:tcW w:type="dxa" w:w="6440"/>
            <w:tcMar>
              <w:top w:type="dxa" w:w="80"/>
              <w:left w:type="dxa" w:w="120"/>
              <w:bottom w:type="dxa" w:w="80"/>
              <w:right w:type="dxa" w:w="120"/>
            </w:tcMar>
            <w:vAlign w:val="center"/>
          </w:tcPr>
          <w:p>
            <w:r>
              <w:rPr>
                <w:rFonts w:ascii="Calibri" w:cs="Calibri" w:eastAsia="Calibri" w:hAnsi="Calibri"/>
                <w:color w:val="222222"/>
                <w:sz w:val="19"/>
                <w:szCs w:val="19"/>
              </w:rPr>
              <w:t xml:space="preserve">Compliant – no transportation damage observed on inbound pallets; bubble wrap air retention and shrink film sealing acceptable overall</w:t>
            </w:r>
          </w:p>
        </w:tc>
      </w:tr>
      <w:tr>
        <w:tc>
          <w:tcPr>
            <w:tcW w:type="dxa" w:w="30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Supplier Documentation</w:t>
            </w:r>
          </w:p>
        </w:tc>
        <w:tc>
          <w:tcPr>
            <w:tcW w:type="dxa" w:w="6440"/>
            <w:tcMar>
              <w:top w:type="dxa" w:w="80"/>
              <w:left w:type="dxa" w:w="120"/>
              <w:bottom w:type="dxa" w:w="80"/>
              <w:right w:type="dxa" w:w="120"/>
            </w:tcMar>
            <w:vAlign w:val="center"/>
          </w:tcPr>
          <w:p>
            <w:r>
              <w:rPr>
                <w:rFonts w:ascii="Calibri" w:cs="Calibri" w:eastAsia="Calibri" w:hAnsi="Calibri"/>
                <w:color w:val="222222"/>
                <w:sz w:val="19"/>
                <w:szCs w:val="19"/>
              </w:rPr>
              <w:t xml:space="preserve">Fully Compliant – Mill/production documentation and packaging specification records provided and consistent with Purchase Order requirements</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7. Supplier Performance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Quality Score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88 / 100</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Delivery Compliance</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95%</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Documentation Accuracy</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98%</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Packaging Conformity</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91%</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Overall Rating</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Approved Supplier</w:t>
            </w:r>
          </w:p>
        </w:tc>
      </w:tr>
      <w:tr>
        <w:tc>
          <w:tcPr>
            <w:tcW w:type="dxa" w:w="3200"/>
            <w:shd w:fill="DCE6F1" w:val="clear"/>
            <w:tcMar>
              <w:top w:type="dxa" w:w="80"/>
              <w:left w:type="dxa" w:w="120"/>
              <w:bottom w:type="dxa" w:w="80"/>
              <w:right w:type="dxa" w:w="120"/>
            </w:tcMar>
            <w:vAlign w:val="center"/>
          </w:tcPr>
          <w:p>
            <w:r>
              <w:rPr>
                <w:rFonts w:ascii="Calibri" w:cs="Calibri" w:eastAsia="Calibri" w:hAnsi="Calibri"/>
                <w:b/>
                <w:bCs/>
                <w:color w:val="1F3A5F"/>
                <w:sz w:val="19"/>
                <w:szCs w:val="19"/>
              </w:rPr>
              <w:t xml:space="preserve">Compliance Status</w:t>
            </w:r>
          </w:p>
        </w:tc>
        <w:tc>
          <w:tcPr>
            <w:tcW w:type="dxa" w:w="6240"/>
            <w:tcMar>
              <w:top w:type="dxa" w:w="80"/>
              <w:left w:type="dxa" w:w="120"/>
              <w:bottom w:type="dxa" w:w="80"/>
              <w:right w:type="dxa" w:w="120"/>
            </w:tcMar>
            <w:vAlign w:val="center"/>
          </w:tcPr>
          <w:p>
            <w:r>
              <w:rPr>
                <w:rFonts w:ascii="Calibri" w:cs="Calibri" w:eastAsia="Calibri" w:hAnsi="Calibri"/>
                <w:color w:val="222222"/>
                <w:sz w:val="19"/>
                <w:szCs w:val="19"/>
              </w:rPr>
              <w:t xml:space="preserve">Approved</w:t>
            </w:r>
          </w:p>
        </w:tc>
      </w:tr>
    </w:tbl>
    <w:p>
      <w:pPr>
        <w:pStyle w:val="Heading1"/>
        <w:pBdr>
          <w:bottom w:val="single" w:color="1F3A5F" w:sz="8" w:space="2"/>
        </w:pBdr>
        <w:spacing w:after="160" w:before="360"/>
      </w:pPr>
      <w:r>
        <w:rPr>
          <w:rFonts w:ascii="Calibri" w:cs="Calibri" w:eastAsia="Calibri" w:hAnsi="Calibri"/>
          <w:b/>
          <w:bCs/>
          <w:color w:val="1F3A5F"/>
          <w:sz w:val="26"/>
          <w:szCs w:val="26"/>
        </w:rPr>
        <w:t xml:space="preserve">8. Recommendation</w:t>
      </w:r>
    </w:p>
    <w:p>
      <w:pPr>
        <w:spacing w:after="120"/>
      </w:pPr>
      <w:r>
        <w:rPr>
          <w:rFonts w:ascii="Calibri" w:cs="Calibri" w:eastAsia="Calibri" w:hAnsi="Calibri"/>
          <w:color w:val="222222"/>
          <w:sz w:val="20"/>
          <w:szCs w:val="20"/>
        </w:rPr>
        <w:t xml:space="preserve">Approved with Minor Observation. Supplier Delta_Logistics remains classified as Approved Supplier under Nova Manufacturing Ltd.'s Approved Supplier List. Continue periodic monitoring, with corrective action completion to be verified at the next scheduled inspection or audit cycle.</w:t>
      </w:r>
    </w:p>
    <w:p>
      <w:pPr>
        <w:pStyle w:val="Heading1"/>
        <w:pBdr>
          <w:bottom w:val="single" w:color="1F3A5F" w:sz="8" w:space="2"/>
        </w:pBdr>
        <w:spacing w:after="160" w:before="360"/>
      </w:pPr>
      <w:r>
        <w:rPr>
          <w:rFonts w:ascii="Calibri" w:cs="Calibri" w:eastAsia="Calibri" w:hAnsi="Calibri"/>
          <w:b/>
          <w:bCs/>
          <w:color w:val="1F3A5F"/>
          <w:sz w:val="26"/>
          <w:szCs w:val="26"/>
        </w:rPr>
        <w:t xml:space="preserve">9. Authorization</w:t>
      </w:r>
    </w:p>
    <w:p>
      <w:pPr>
        <w:spacing w:after="120"/>
      </w:pPr>
      <w:r>
        <w:rPr>
          <w:rFonts w:ascii="Calibri" w:cs="Calibri" w:eastAsia="Calibri" w:hAnsi="Calibri"/>
          <w:color w:val="222222"/>
          <w:sz w:val="20"/>
          <w:szCs w:val="20"/>
        </w:rPr>
        <w:t xml:space="preserve">This report has been prepared, reviewed, and approved in accordance with Nova Manufacturing Ltd.'s Procurement Policy (NML-POL-PROC-001) and Supplier Evaluation Policy (NML-POL-SUPEVAL-002).</w:t>
      </w:r>
    </w:p>
    <w:p>
      <w:pPr>
        <w:spacing w:before="200"/>
      </w:pPr>
    </w:p>
    <w:p>
      <w:pPr>
        <w:spacing w:after="100" w:before="200"/>
      </w:pPr>
      <w:r>
        <w:rPr>
          <w:rFonts w:ascii="Calibri" w:cs="Calibri" w:eastAsia="Calibri" w:hAnsi="Calibri"/>
          <w:b/>
          <w:bCs/>
          <w:color w:val="2E5395"/>
          <w:sz w:val="22"/>
          <w:szCs w:val="22"/>
        </w:rPr>
        <w:t xml:space="preserve">Prepared By</w:t>
      </w:r>
    </w:p>
    <w:p>
      <w:pPr>
        <w:spacing w:after="120"/>
      </w:pPr>
      <w:r>
        <w:rPr>
          <w:rFonts w:ascii="Calibri" w:cs="Calibri" w:eastAsia="Calibri" w:hAnsi="Calibri"/>
          <w:color w:val="222222"/>
          <w:sz w:val="20"/>
          <w:szCs w:val="20"/>
        </w:rPr>
        <w:t xml:space="preserve">Packaging Quality Inspector</w:t>
      </w:r>
    </w:p>
    <w:p>
      <w:pPr>
        <w:spacing w:after="100" w:before="200"/>
      </w:pPr>
      <w:r>
        <w:rPr>
          <w:rFonts w:ascii="Calibri" w:cs="Calibri" w:eastAsia="Calibri" w:hAnsi="Calibri"/>
          <w:sz w:val="20"/>
          <w:szCs w:val="20"/>
        </w:rPr>
        <w:t xml:space="preserve">Signature: __________________________________</w:t>
      </w:r>
    </w:p>
    <w:p>
      <w:pPr>
        <w:spacing w:after="100"/>
      </w:pPr>
      <w:r>
        <w:rPr>
          <w:rFonts w:ascii="Calibri" w:cs="Calibri" w:eastAsia="Calibri" w:hAnsi="Calibri"/>
          <w:sz w:val="20"/>
          <w:szCs w:val="20"/>
        </w:rPr>
        <w:t xml:space="preserve">Name: __________________________________</w:t>
      </w:r>
    </w:p>
    <w:p>
      <w:pPr>
        <w:spacing w:after="300"/>
      </w:pPr>
      <w:r>
        <w:rPr>
          <w:rFonts w:ascii="Calibri" w:cs="Calibri" w:eastAsia="Calibri" w:hAnsi="Calibri"/>
          <w:sz w:val="20"/>
          <w:szCs w:val="20"/>
        </w:rPr>
        <w:t xml:space="preserve">Date: __________________________________</w:t>
      </w:r>
    </w:p>
    <w:p>
      <w:pPr>
        <w:spacing w:after="100" w:before="200"/>
      </w:pPr>
      <w:r>
        <w:rPr>
          <w:rFonts w:ascii="Calibri" w:cs="Calibri" w:eastAsia="Calibri" w:hAnsi="Calibri"/>
          <w:b/>
          <w:bCs/>
          <w:color w:val="2E5395"/>
          <w:sz w:val="22"/>
          <w:szCs w:val="22"/>
        </w:rPr>
        <w:t xml:space="preserve">Reviewed By</w:t>
      </w:r>
    </w:p>
    <w:p>
      <w:pPr>
        <w:spacing w:after="120"/>
      </w:pPr>
      <w:r>
        <w:rPr>
          <w:rFonts w:ascii="Calibri" w:cs="Calibri" w:eastAsia="Calibri" w:hAnsi="Calibri"/>
          <w:color w:val="222222"/>
          <w:sz w:val="20"/>
          <w:szCs w:val="20"/>
        </w:rPr>
        <w:t xml:space="preserve">Quality Assurance Manager</w:t>
      </w:r>
    </w:p>
    <w:p>
      <w:pPr>
        <w:spacing w:after="100" w:before="200"/>
      </w:pPr>
      <w:r>
        <w:rPr>
          <w:rFonts w:ascii="Calibri" w:cs="Calibri" w:eastAsia="Calibri" w:hAnsi="Calibri"/>
          <w:sz w:val="20"/>
          <w:szCs w:val="20"/>
        </w:rPr>
        <w:t xml:space="preserve">Signature: __________________________________</w:t>
      </w:r>
    </w:p>
    <w:p>
      <w:pPr>
        <w:spacing w:after="100"/>
      </w:pPr>
      <w:r>
        <w:rPr>
          <w:rFonts w:ascii="Calibri" w:cs="Calibri" w:eastAsia="Calibri" w:hAnsi="Calibri"/>
          <w:sz w:val="20"/>
          <w:szCs w:val="20"/>
        </w:rPr>
        <w:t xml:space="preserve">Name: __________________________________</w:t>
      </w:r>
    </w:p>
    <w:p>
      <w:pPr>
        <w:spacing w:after="300"/>
      </w:pPr>
      <w:r>
        <w:rPr>
          <w:rFonts w:ascii="Calibri" w:cs="Calibri" w:eastAsia="Calibri" w:hAnsi="Calibri"/>
          <w:sz w:val="20"/>
          <w:szCs w:val="20"/>
        </w:rPr>
        <w:t xml:space="preserve">Date: __________________________________</w:t>
      </w:r>
    </w:p>
    <w:p>
      <w:pPr>
        <w:spacing w:after="100" w:before="200"/>
      </w:pPr>
      <w:r>
        <w:rPr>
          <w:rFonts w:ascii="Calibri" w:cs="Calibri" w:eastAsia="Calibri" w:hAnsi="Calibri"/>
          <w:b/>
          <w:bCs/>
          <w:color w:val="2E5395"/>
          <w:sz w:val="22"/>
          <w:szCs w:val="22"/>
        </w:rPr>
        <w:t xml:space="preserve">Approved By</w:t>
      </w:r>
    </w:p>
    <w:p>
      <w:pPr>
        <w:spacing w:after="120"/>
      </w:pPr>
      <w:r>
        <w:rPr>
          <w:rFonts w:ascii="Calibri" w:cs="Calibri" w:eastAsia="Calibri" w:hAnsi="Calibri"/>
          <w:color w:val="222222"/>
          <w:sz w:val="20"/>
          <w:szCs w:val="20"/>
        </w:rPr>
        <w:t xml:space="preserve">Procurement Manager</w:t>
      </w:r>
    </w:p>
    <w:p>
      <w:pPr>
        <w:spacing w:after="100" w:before="200"/>
      </w:pPr>
      <w:r>
        <w:rPr>
          <w:rFonts w:ascii="Calibri" w:cs="Calibri" w:eastAsia="Calibri" w:hAnsi="Calibri"/>
          <w:sz w:val="20"/>
          <w:szCs w:val="20"/>
        </w:rPr>
        <w:t xml:space="preserve">Signature: __________________________________</w:t>
      </w:r>
    </w:p>
    <w:p>
      <w:pPr>
        <w:spacing w:after="100"/>
      </w:pPr>
      <w:r>
        <w:rPr>
          <w:rFonts w:ascii="Calibri" w:cs="Calibri" w:eastAsia="Calibri" w:hAnsi="Calibri"/>
          <w:sz w:val="20"/>
          <w:szCs w:val="20"/>
        </w:rPr>
        <w:t xml:space="preserve">Name: __________________________________</w:t>
      </w:r>
    </w:p>
    <w:p>
      <w:pPr>
        <w:spacing w:after="300"/>
      </w:pPr>
      <w:r>
        <w:rPr>
          <w:rFonts w:ascii="Calibri" w:cs="Calibri" w:eastAsia="Calibri" w:hAnsi="Calibri"/>
          <w:sz w:val="20"/>
          <w:szCs w:val="20"/>
        </w:rPr>
        <w:t xml:space="preserve">Date: 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NML-QIR-DELTA-2026-013  |  Confidential — Contains Quality &amp; Commercial Data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Nova Manufacturing Ltd. — Supplier Quality Inspection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2026-07-20T07:48:28.528Z</dcterms:created>
  <dcterms:modified xsi:type="dcterms:W3CDTF">2026-07-20T07:48:28.528Z</dcterms:modified>
</cp:coreProperties>
</file>

<file path=docProps/custom.xml><?xml version="1.0" encoding="utf-8"?>
<Properties xmlns="http://schemas.openxmlformats.org/officeDocument/2006/custom-properties" xmlns:vt="http://schemas.openxmlformats.org/officeDocument/2006/docPropsVTypes"/>
</file>