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p>
    <w:p>
      <w:pPr>
        <w:pBdr>
          <w:top w:val="single" w:color="1F3864" w:sz="12" w:space="8"/>
          <w:bottom w:val="single" w:color="1F3864" w:sz="12" w:space="8"/>
          <w:left w:val="single" w:color="1F3864" w:sz="12" w:space="8"/>
          <w:right w:val="single" w:color="1F3864" w:sz="12" w:space="8"/>
        </w:pBdr>
        <w:spacing w:after="200"/>
        <w:jc w:val="center"/>
      </w:pPr>
      <w:r>
        <w:rPr>
          <w:rFonts w:ascii="Calibri" w:cs="Calibri" w:eastAsia="Calibri" w:hAnsi="Calibri"/>
          <w:b/>
          <w:bCs/>
          <w:color w:val="1F3864"/>
          <w:sz w:val="20"/>
          <w:szCs w:val="20"/>
        </w:rPr>
        <w:t xml:space="preserve">[ NOVA MANUFACTURING LTD. — COMPANY LOGO ]</w:t>
      </w:r>
    </w:p>
    <w:p>
      <w:pPr>
        <w:spacing w:after="200" w:before="600"/>
        <w:jc w:val="center"/>
      </w:pPr>
      <w:r>
        <w:rPr>
          <w:rFonts w:ascii="Calibri" w:cs="Calibri" w:eastAsia="Calibri" w:hAnsi="Calibri"/>
          <w:b/>
          <w:bCs/>
          <w:color w:val="1F3864"/>
          <w:sz w:val="40"/>
          <w:szCs w:val="40"/>
        </w:rPr>
        <w:t xml:space="preserve">Nova Manufacturing Ltd.</w:t>
      </w:r>
    </w:p>
    <w:p>
      <w:pPr>
        <w:spacing w:after="100"/>
        <w:jc w:val="center"/>
      </w:pPr>
      <w:r>
        <w:rPr>
          <w:rFonts w:ascii="Calibri" w:cs="Calibri" w:eastAsia="Calibri" w:hAnsi="Calibri"/>
          <w:b/>
          <w:bCs/>
          <w:color w:val="44546A"/>
          <w:sz w:val="32"/>
          <w:szCs w:val="32"/>
        </w:rPr>
        <w:t xml:space="preserve">Procurement Policy</w:t>
      </w:r>
    </w:p>
    <w:p>
      <w:pPr>
        <w:spacing w:after="600"/>
        <w:jc w:val="center"/>
      </w:pPr>
      <w:r>
        <w:rPr>
          <w:rFonts w:ascii="Calibri" w:cs="Calibri" w:eastAsia="Calibri" w:hAnsi="Calibri"/>
          <w:i/>
          <w:iCs/>
          <w:color w:val="44546A"/>
          <w:sz w:val="24"/>
          <w:szCs w:val="24"/>
        </w:rPr>
        <w:t xml:space="preserve">Corporate Policy Governing the Purchasing of Goods and Services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F2F2F2" w:val="clear"/>
            <w:tcMar>
              <w:top w:type="dxa" w:w="100"/>
              <w:left w:type="dxa" w:w="150"/>
              <w:bottom w:type="dxa" w:w="100"/>
              <w:right w:type="dxa" w:w="150"/>
            </w:tcMar>
          </w:tcPr>
          <w:p>
            <w:r>
              <w:rPr>
                <w:rFonts w:ascii="Calibri" w:cs="Calibri" w:eastAsia="Calibri" w:hAnsi="Calibri"/>
                <w:b/>
                <w:bCs/>
                <w:color w:val="1F3864"/>
                <w:sz w:val="20"/>
                <w:szCs w:val="20"/>
              </w:rPr>
              <w:t xml:space="preserve">Document ID:</w:t>
            </w:r>
          </w:p>
        </w:tc>
        <w:tc>
          <w:tcPr>
            <w:tcW w:type="dxa" w:w="6000"/>
            <w:tcMar>
              <w:top w:type="dxa" w:w="100"/>
              <w:left w:type="dxa" w:w="150"/>
              <w:bottom w:type="dxa" w:w="100"/>
              <w:right w:type="dxa" w:w="150"/>
            </w:tcMar>
          </w:tcPr>
          <w:p>
            <w:r>
              <w:rPr>
                <w:rFonts w:ascii="Calibri" w:cs="Calibri" w:eastAsia="Calibri" w:hAnsi="Calibri"/>
                <w:color w:val="222222"/>
                <w:sz w:val="20"/>
                <w:szCs w:val="20"/>
              </w:rPr>
              <w:t xml:space="preserve">NML-POL-PROC-001</w:t>
            </w:r>
          </w:p>
        </w:tc>
      </w:tr>
      <w:tr>
        <w:tc>
          <w:tcPr>
            <w:tcW w:type="dxa" w:w="3000"/>
            <w:shd w:fill="F2F2F2" w:val="clear"/>
            <w:tcMar>
              <w:top w:type="dxa" w:w="100"/>
              <w:left w:type="dxa" w:w="150"/>
              <w:bottom w:type="dxa" w:w="100"/>
              <w:right w:type="dxa" w:w="150"/>
            </w:tcMar>
          </w:tcPr>
          <w:p>
            <w:r>
              <w:rPr>
                <w:rFonts w:ascii="Calibri" w:cs="Calibri" w:eastAsia="Calibri" w:hAnsi="Calibri"/>
                <w:b/>
                <w:bCs/>
                <w:color w:val="1F3864"/>
                <w:sz w:val="20"/>
                <w:szCs w:val="20"/>
              </w:rPr>
              <w:t xml:space="preserve">Version:</w:t>
            </w:r>
          </w:p>
        </w:tc>
        <w:tc>
          <w:tcPr>
            <w:tcW w:type="dxa" w:w="6000"/>
            <w:tcMar>
              <w:top w:type="dxa" w:w="100"/>
              <w:left w:type="dxa" w:w="150"/>
              <w:bottom w:type="dxa" w:w="100"/>
              <w:right w:type="dxa" w:w="150"/>
            </w:tcMar>
          </w:tcPr>
          <w:p>
            <w:r>
              <w:rPr>
                <w:rFonts w:ascii="Calibri" w:cs="Calibri" w:eastAsia="Calibri" w:hAnsi="Calibri"/>
                <w:color w:val="222222"/>
                <w:sz w:val="20"/>
                <w:szCs w:val="20"/>
              </w:rPr>
              <w:t xml:space="preserve">3.2</w:t>
            </w:r>
          </w:p>
        </w:tc>
      </w:tr>
      <w:tr>
        <w:tc>
          <w:tcPr>
            <w:tcW w:type="dxa" w:w="3000"/>
            <w:shd w:fill="F2F2F2" w:val="clear"/>
            <w:tcMar>
              <w:top w:type="dxa" w:w="100"/>
              <w:left w:type="dxa" w:w="150"/>
              <w:bottom w:type="dxa" w:w="100"/>
              <w:right w:type="dxa" w:w="150"/>
            </w:tcMar>
          </w:tcPr>
          <w:p>
            <w:r>
              <w:rPr>
                <w:rFonts w:ascii="Calibri" w:cs="Calibri" w:eastAsia="Calibri" w:hAnsi="Calibri"/>
                <w:b/>
                <w:bCs/>
                <w:color w:val="1F3864"/>
                <w:sz w:val="20"/>
                <w:szCs w:val="20"/>
              </w:rPr>
              <w:t xml:space="preserve">Issue Date:</w:t>
            </w:r>
          </w:p>
        </w:tc>
        <w:tc>
          <w:tcPr>
            <w:tcW w:type="dxa" w:w="6000"/>
            <w:tcMar>
              <w:top w:type="dxa" w:w="100"/>
              <w:left w:type="dxa" w:w="150"/>
              <w:bottom w:type="dxa" w:w="100"/>
              <w:right w:type="dxa" w:w="150"/>
            </w:tcMar>
          </w:tcPr>
          <w:p>
            <w:r>
              <w:rPr>
                <w:rFonts w:ascii="Calibri" w:cs="Calibri" w:eastAsia="Calibri" w:hAnsi="Calibri"/>
                <w:color w:val="222222"/>
                <w:sz w:val="20"/>
                <w:szCs w:val="20"/>
              </w:rPr>
              <w:t xml:space="preserve">January 15, 2021</w:t>
            </w:r>
          </w:p>
        </w:tc>
      </w:tr>
      <w:tr>
        <w:tc>
          <w:tcPr>
            <w:tcW w:type="dxa" w:w="3000"/>
            <w:shd w:fill="F2F2F2" w:val="clear"/>
            <w:tcMar>
              <w:top w:type="dxa" w:w="100"/>
              <w:left w:type="dxa" w:w="150"/>
              <w:bottom w:type="dxa" w:w="100"/>
              <w:right w:type="dxa" w:w="150"/>
            </w:tcMar>
          </w:tcPr>
          <w:p>
            <w:r>
              <w:rPr>
                <w:rFonts w:ascii="Calibri" w:cs="Calibri" w:eastAsia="Calibri" w:hAnsi="Calibri"/>
                <w:b/>
                <w:bCs/>
                <w:color w:val="1F3864"/>
                <w:sz w:val="20"/>
                <w:szCs w:val="20"/>
              </w:rPr>
              <w:t xml:space="preserve">Revision Date:</w:t>
            </w:r>
          </w:p>
        </w:tc>
        <w:tc>
          <w:tcPr>
            <w:tcW w:type="dxa" w:w="6000"/>
            <w:tcMar>
              <w:top w:type="dxa" w:w="100"/>
              <w:left w:type="dxa" w:w="150"/>
              <w:bottom w:type="dxa" w:w="100"/>
              <w:right w:type="dxa" w:w="150"/>
            </w:tcMar>
          </w:tcPr>
          <w:p>
            <w:r>
              <w:rPr>
                <w:rFonts w:ascii="Calibri" w:cs="Calibri" w:eastAsia="Calibri" w:hAnsi="Calibri"/>
                <w:color w:val="222222"/>
                <w:sz w:val="20"/>
                <w:szCs w:val="20"/>
              </w:rPr>
              <w:t xml:space="preserve">March 3, 2026</w:t>
            </w:r>
          </w:p>
        </w:tc>
      </w:tr>
      <w:tr>
        <w:tc>
          <w:tcPr>
            <w:tcW w:type="dxa" w:w="3000"/>
            <w:shd w:fill="F2F2F2" w:val="clear"/>
            <w:tcMar>
              <w:top w:type="dxa" w:w="100"/>
              <w:left w:type="dxa" w:w="150"/>
              <w:bottom w:type="dxa" w:w="100"/>
              <w:right w:type="dxa" w:w="150"/>
            </w:tcMar>
          </w:tcPr>
          <w:p>
            <w:r>
              <w:rPr>
                <w:rFonts w:ascii="Calibri" w:cs="Calibri" w:eastAsia="Calibri" w:hAnsi="Calibri"/>
                <w:b/>
                <w:bCs/>
                <w:color w:val="1F3864"/>
                <w:sz w:val="20"/>
                <w:szCs w:val="20"/>
              </w:rPr>
              <w:t xml:space="preserve">Document Owner:</w:t>
            </w:r>
          </w:p>
        </w:tc>
        <w:tc>
          <w:tcPr>
            <w:tcW w:type="dxa" w:w="6000"/>
            <w:tcMar>
              <w:top w:type="dxa" w:w="100"/>
              <w:left w:type="dxa" w:w="150"/>
              <w:bottom w:type="dxa" w:w="100"/>
              <w:right w:type="dxa" w:w="150"/>
            </w:tcMar>
          </w:tcPr>
          <w:p>
            <w:r>
              <w:rPr>
                <w:rFonts w:ascii="Calibri" w:cs="Calibri" w:eastAsia="Calibri" w:hAnsi="Calibri"/>
                <w:color w:val="222222"/>
                <w:sz w:val="20"/>
                <w:szCs w:val="20"/>
              </w:rPr>
              <w:t xml:space="preserve">Director of Procurement, Global Supply Chain Organization</w:t>
            </w:r>
          </w:p>
        </w:tc>
      </w:tr>
      <w:tr>
        <w:tc>
          <w:tcPr>
            <w:tcW w:type="dxa" w:w="3000"/>
            <w:shd w:fill="F2F2F2" w:val="clear"/>
            <w:tcMar>
              <w:top w:type="dxa" w:w="100"/>
              <w:left w:type="dxa" w:w="150"/>
              <w:bottom w:type="dxa" w:w="100"/>
              <w:right w:type="dxa" w:w="150"/>
            </w:tcMar>
          </w:tcPr>
          <w:p>
            <w:r>
              <w:rPr>
                <w:rFonts w:ascii="Calibri" w:cs="Calibri" w:eastAsia="Calibri" w:hAnsi="Calibri"/>
                <w:b/>
                <w:bCs/>
                <w:color w:val="1F3864"/>
                <w:sz w:val="20"/>
                <w:szCs w:val="20"/>
              </w:rPr>
              <w:t xml:space="preserve">Classification:</w:t>
            </w:r>
          </w:p>
        </w:tc>
        <w:tc>
          <w:tcPr>
            <w:tcW w:type="dxa" w:w="6000"/>
            <w:tcMar>
              <w:top w:type="dxa" w:w="100"/>
              <w:left w:type="dxa" w:w="150"/>
              <w:bottom w:type="dxa" w:w="100"/>
              <w:right w:type="dxa" w:w="150"/>
            </w:tcMar>
          </w:tcPr>
          <w:p>
            <w:r>
              <w:rPr>
                <w:rFonts w:ascii="Calibri" w:cs="Calibri" w:eastAsia="Calibri" w:hAnsi="Calibri"/>
                <w:color w:val="222222"/>
                <w:sz w:val="20"/>
                <w:szCs w:val="20"/>
              </w:rPr>
              <w:t xml:space="preserve">Internal Use Only — Not for External Distribution</w:t>
            </w:r>
          </w:p>
        </w:tc>
      </w:tr>
    </w:tbl>
    <w:p>
      <w:r>
        <w:br w:type="page"/>
      </w:r>
    </w:p>
    <w:p>
      <w:pPr>
        <w:sectPr>
          <w:headerReference w:type="default" r:id="rId7"/>
          <w:footerReference w:type="default" r:id="rId8"/>
          <w:pgSz w:w="12240" w:h="15840" w:orient="portrait"/>
          <w:pgMar w:top="1080" w:right="1260" w:bottom="1080" w:left="1260" w:header="708" w:footer="708" w:gutter="0"/>
          <w:pgNumType/>
          <w:titlePg w:val="false"/>
          <w:docGrid w:linePitch="360"/>
        </w:sectPr>
      </w:pPr>
    </w:p>
    <w:p>
      <w:pPr>
        <w:pStyle w:val="Heading1"/>
        <w:pBdr>
          <w:bottom w:val="single" w:color="D9D9D9" w:sz="6" w:space="4"/>
        </w:pBdr>
        <w:spacing w:after="150" w:before="300"/>
      </w:pPr>
      <w:r>
        <w:rPr>
          <w:rFonts w:ascii="Calibri" w:cs="Calibri" w:eastAsia="Calibri" w:hAnsi="Calibri"/>
          <w:b/>
          <w:bCs/>
          <w:color w:val="1F3864"/>
          <w:sz w:val="28"/>
          <w:szCs w:val="28"/>
        </w:rPr>
        <w:t xml:space="preserve">1. Purpose</w:t>
      </w:r>
    </w:p>
    <w:p>
      <w:pPr>
        <w:spacing w:after="140" w:line="276"/>
        <w:jc w:val="both"/>
      </w:pPr>
      <w:r>
        <w:rPr>
          <w:rFonts w:ascii="Calibri" w:cs="Calibri" w:eastAsia="Calibri" w:hAnsi="Calibri"/>
          <w:color w:val="222222"/>
          <w:sz w:val="21"/>
          <w:szCs w:val="21"/>
        </w:rPr>
        <w:t xml:space="preserve">This Procurement Policy ("Policy") establishes the mandatory principles, controls, and procedures that govern the sourcing, purchasing, and contracting of raw materials, components, finished goods, equipment, and services by Nova Manufacturing Ltd. ("Nova Manufacturing," "the Company") and its wholly owned subsidiaries. The Policy is designed to ensure that procurement activity is conducted in a manner that is cost-effective, transparent, ethical, and compliant with applicable federal, state, and local law, while protecting the continuity and quality of the Company's manufacturing operations.</w:t>
      </w:r>
    </w:p>
    <w:p>
      <w:pPr>
        <w:spacing w:after="140" w:line="276"/>
        <w:jc w:val="both"/>
      </w:pPr>
      <w:r>
        <w:rPr>
          <w:rFonts w:ascii="Calibri" w:cs="Calibri" w:eastAsia="Calibri" w:hAnsi="Calibri"/>
          <w:color w:val="222222"/>
          <w:sz w:val="21"/>
          <w:szCs w:val="21"/>
        </w:rPr>
        <w:t xml:space="preserve">The Policy applies to the acquisition of electronics and components, office supplies, packaging materials, raw materials, and maintenance, repair and operations ("MRO") goods and services, and governs the full lifecycle of a purchase from the identification of a business need through supplier payment and contract close-out.</w:t>
      </w:r>
    </w:p>
    <w:p>
      <w:pPr>
        <w:pStyle w:val="Heading1"/>
        <w:pBdr>
          <w:bottom w:val="single" w:color="D9D9D9" w:sz="6" w:space="4"/>
        </w:pBdr>
        <w:spacing w:after="150" w:before="300"/>
      </w:pPr>
      <w:r>
        <w:rPr>
          <w:rFonts w:ascii="Calibri" w:cs="Calibri" w:eastAsia="Calibri" w:hAnsi="Calibri"/>
          <w:b/>
          <w:bCs/>
          <w:color w:val="1F3864"/>
          <w:sz w:val="28"/>
          <w:szCs w:val="28"/>
        </w:rPr>
        <w:t xml:space="preserve">2. Scope</w:t>
      </w:r>
    </w:p>
    <w:p>
      <w:pPr>
        <w:spacing w:after="140" w:line="276"/>
        <w:jc w:val="both"/>
      </w:pPr>
      <w:r>
        <w:rPr>
          <w:rFonts w:ascii="Calibri" w:cs="Calibri" w:eastAsia="Calibri" w:hAnsi="Calibri"/>
          <w:color w:val="222222"/>
          <w:sz w:val="21"/>
          <w:szCs w:val="21"/>
        </w:rPr>
        <w:t xml:space="preserve">This Policy applies to all employees, contractors, and temporary staff of Nova Manufacturing Ltd. who initiate, approve, or execute purchase requisitions, purchase orders, or supplier contracts on behalf of the Company, at all manufacturing sites, distribution centers, and corporate offices within the United States. The Policy covers:</w:t>
      </w:r>
    </w:p>
    <w:p>
      <w:pPr>
        <w:pStyle w:val="ListParagraph"/>
        <w:numPr>
          <w:ilvl w:val="0"/>
          <w:numId w:val="2"/>
        </w:numPr>
        <w:spacing w:after="80"/>
      </w:pPr>
      <w:r>
        <w:rPr>
          <w:rFonts w:ascii="Calibri" w:cs="Calibri" w:eastAsia="Calibri" w:hAnsi="Calibri"/>
          <w:color w:val="222222"/>
          <w:sz w:val="21"/>
          <w:szCs w:val="21"/>
        </w:rPr>
        <w:t xml:space="preserve">Direct materials procurement (raw materials, components, and sub-assemblies incorporated into finished goods).</w:t>
      </w:r>
    </w:p>
    <w:p>
      <w:pPr>
        <w:pStyle w:val="ListParagraph"/>
        <w:numPr>
          <w:ilvl w:val="0"/>
          <w:numId w:val="2"/>
        </w:numPr>
        <w:spacing w:after="80"/>
      </w:pPr>
      <w:r>
        <w:rPr>
          <w:rFonts w:ascii="Calibri" w:cs="Calibri" w:eastAsia="Calibri" w:hAnsi="Calibri"/>
          <w:color w:val="222222"/>
          <w:sz w:val="21"/>
          <w:szCs w:val="21"/>
        </w:rPr>
        <w:t xml:space="preserve">Indirect procurement (office supplies, packaging, MRO items, capital equipment, and professional services).</w:t>
      </w:r>
    </w:p>
    <w:p>
      <w:pPr>
        <w:pStyle w:val="ListParagraph"/>
        <w:numPr>
          <w:ilvl w:val="0"/>
          <w:numId w:val="2"/>
        </w:numPr>
        <w:spacing w:after="80"/>
      </w:pPr>
      <w:r>
        <w:rPr>
          <w:rFonts w:ascii="Calibri" w:cs="Calibri" w:eastAsia="Calibri" w:hAnsi="Calibri"/>
          <w:color w:val="222222"/>
          <w:sz w:val="21"/>
          <w:szCs w:val="21"/>
        </w:rPr>
        <w:t xml:space="preserve">Supplier onboarding, qualification, contracting, and ongoing performance management.</w:t>
      </w:r>
    </w:p>
    <w:p>
      <w:pPr>
        <w:pStyle w:val="ListParagraph"/>
        <w:numPr>
          <w:ilvl w:val="0"/>
          <w:numId w:val="2"/>
        </w:numPr>
        <w:spacing w:after="80"/>
      </w:pPr>
      <w:r>
        <w:rPr>
          <w:rFonts w:ascii="Calibri" w:cs="Calibri" w:eastAsia="Calibri" w:hAnsi="Calibri"/>
          <w:color w:val="222222"/>
          <w:sz w:val="21"/>
          <w:szCs w:val="21"/>
        </w:rPr>
        <w:t xml:space="preserve">Purchase order issuance, amendment, and closure.</w:t>
      </w:r>
    </w:p>
    <w:p>
      <w:pPr>
        <w:pStyle w:val="ListParagraph"/>
        <w:numPr>
          <w:ilvl w:val="0"/>
          <w:numId w:val="2"/>
        </w:numPr>
        <w:spacing w:after="80"/>
      </w:pPr>
      <w:r>
        <w:rPr>
          <w:rFonts w:ascii="Calibri" w:cs="Calibri" w:eastAsia="Calibri" w:hAnsi="Calibri"/>
          <w:color w:val="222222"/>
          <w:sz w:val="21"/>
          <w:szCs w:val="21"/>
        </w:rPr>
        <w:t xml:space="preserve">Emergency and spot-buy purchasing where standard lead times cannot be met.</w:t>
      </w:r>
    </w:p>
    <w:p>
      <w:pPr>
        <w:spacing w:after="140" w:line="276"/>
        <w:jc w:val="both"/>
      </w:pPr>
      <w:r>
        <w:rPr>
          <w:rFonts w:ascii="Calibri" w:cs="Calibri" w:eastAsia="Calibri" w:hAnsi="Calibri"/>
          <w:color w:val="222222"/>
          <w:sz w:val="21"/>
          <w:szCs w:val="21"/>
        </w:rPr>
        <w:t xml:space="preserve">This Policy does not apply to mergers and acquisitions, real estate transactions, or corporate financing arrangements, each of which is governed by separate corporate policy.</w:t>
      </w:r>
    </w:p>
    <w:p>
      <w:pPr>
        <w:pStyle w:val="Heading1"/>
        <w:pBdr>
          <w:bottom w:val="single" w:color="D9D9D9" w:sz="6" w:space="4"/>
        </w:pBdr>
        <w:spacing w:after="150" w:before="300"/>
      </w:pPr>
      <w:r>
        <w:rPr>
          <w:rFonts w:ascii="Calibri" w:cs="Calibri" w:eastAsia="Calibri" w:hAnsi="Calibri"/>
          <w:b/>
          <w:bCs/>
          <w:color w:val="1F3864"/>
          <w:sz w:val="28"/>
          <w:szCs w:val="28"/>
        </w:rPr>
        <w:t xml:space="preserve">3. Procurement Principles</w:t>
      </w:r>
    </w:p>
    <w:p>
      <w:pPr>
        <w:spacing w:after="140" w:line="276"/>
        <w:jc w:val="both"/>
      </w:pPr>
      <w:r>
        <w:rPr>
          <w:rFonts w:ascii="Calibri" w:cs="Calibri" w:eastAsia="Calibri" w:hAnsi="Calibri"/>
          <w:color w:val="222222"/>
          <w:sz w:val="21"/>
          <w:szCs w:val="21"/>
        </w:rPr>
        <w:t xml:space="preserve">All procurement activity at Nova Manufacturing Ltd. is guided by the following core principles:</w:t>
      </w:r>
    </w:p>
    <w:p>
      <w:pPr>
        <w:pStyle w:val="ListParagraph"/>
        <w:numPr>
          <w:ilvl w:val="0"/>
          <w:numId w:val="3"/>
        </w:numPr>
        <w:spacing w:after="80"/>
      </w:pPr>
      <w:r>
        <w:rPr>
          <w:rFonts w:ascii="Calibri" w:cs="Calibri" w:eastAsia="Calibri" w:hAnsi="Calibri"/>
          <w:color w:val="222222"/>
          <w:sz w:val="21"/>
          <w:szCs w:val="21"/>
        </w:rPr>
        <w:t xml:space="preserve">Value for Money — Total cost of ownership, including price, quality, delivery reliability, and lifecycle cost, shall be the basis for sourcing decisions, not unit price alone.</w:t>
      </w:r>
    </w:p>
    <w:p>
      <w:pPr>
        <w:pStyle w:val="ListParagraph"/>
        <w:numPr>
          <w:ilvl w:val="0"/>
          <w:numId w:val="3"/>
        </w:numPr>
        <w:spacing w:after="80"/>
      </w:pPr>
      <w:r>
        <w:rPr>
          <w:rFonts w:ascii="Calibri" w:cs="Calibri" w:eastAsia="Calibri" w:hAnsi="Calibri"/>
          <w:color w:val="222222"/>
          <w:sz w:val="21"/>
          <w:szCs w:val="21"/>
        </w:rPr>
        <w:t xml:space="preserve">Fair Competition — Wherever practicable, purchases above the competitive bidding threshold defined in Section 5 shall be subject to competitive quotation from at least three qualified suppliers.</w:t>
      </w:r>
    </w:p>
    <w:p>
      <w:pPr>
        <w:pStyle w:val="ListParagraph"/>
        <w:numPr>
          <w:ilvl w:val="0"/>
          <w:numId w:val="3"/>
        </w:numPr>
        <w:spacing w:after="80"/>
      </w:pPr>
      <w:r>
        <w:rPr>
          <w:rFonts w:ascii="Calibri" w:cs="Calibri" w:eastAsia="Calibri" w:hAnsi="Calibri"/>
          <w:color w:val="222222"/>
          <w:sz w:val="21"/>
          <w:szCs w:val="21"/>
        </w:rPr>
        <w:t xml:space="preserve">Segregation of Duties — The individual who requests a purchase shall not be the same individual who approves it, and the individual who approves a purchase order shall not authorize the corresponding supplier payment.</w:t>
      </w:r>
    </w:p>
    <w:p>
      <w:pPr>
        <w:pStyle w:val="ListParagraph"/>
        <w:numPr>
          <w:ilvl w:val="0"/>
          <w:numId w:val="3"/>
        </w:numPr>
        <w:spacing w:after="80"/>
      </w:pPr>
      <w:r>
        <w:rPr>
          <w:rFonts w:ascii="Calibri" w:cs="Calibri" w:eastAsia="Calibri" w:hAnsi="Calibri"/>
          <w:color w:val="222222"/>
          <w:sz w:val="21"/>
          <w:szCs w:val="21"/>
        </w:rPr>
        <w:t xml:space="preserve">Supplier Continuity — Procurement decisions shall account for supply chain risk, single-source exposure, and business continuity, consistent with the Supplier Evaluation Policy (NML-POL-SUPEVAL-002).</w:t>
      </w:r>
    </w:p>
    <w:p>
      <w:pPr>
        <w:pStyle w:val="ListParagraph"/>
        <w:numPr>
          <w:ilvl w:val="0"/>
          <w:numId w:val="3"/>
        </w:numPr>
        <w:spacing w:after="80"/>
      </w:pPr>
      <w:r>
        <w:rPr>
          <w:rFonts w:ascii="Calibri" w:cs="Calibri" w:eastAsia="Calibri" w:hAnsi="Calibri"/>
          <w:color w:val="222222"/>
          <w:sz w:val="21"/>
          <w:szCs w:val="21"/>
        </w:rPr>
        <w:t xml:space="preserve">Transparency and Auditability — Every purchase shall be documented, traceable to an approved purchase requisition, and retained in accordance with Section 16 (Record Retention).</w:t>
      </w:r>
    </w:p>
    <w:p>
      <w:pPr>
        <w:pStyle w:val="ListParagraph"/>
        <w:numPr>
          <w:ilvl w:val="0"/>
          <w:numId w:val="3"/>
        </w:numPr>
        <w:spacing w:after="80"/>
      </w:pPr>
      <w:r>
        <w:rPr>
          <w:rFonts w:ascii="Calibri" w:cs="Calibri" w:eastAsia="Calibri" w:hAnsi="Calibri"/>
          <w:color w:val="222222"/>
          <w:sz w:val="21"/>
          <w:szCs w:val="21"/>
        </w:rPr>
        <w:t xml:space="preserve">Ethical Conduct — All procurement personnel and suppliers shall act with integrity, avoid conflicts of interest, and comply with Section 14 (Ethical Procurement).</w:t>
      </w:r>
    </w:p>
    <w:p>
      <w:pPr>
        <w:pStyle w:val="Heading1"/>
        <w:pBdr>
          <w:bottom w:val="single" w:color="D9D9D9" w:sz="6" w:space="4"/>
        </w:pBdr>
        <w:spacing w:after="150" w:before="300"/>
      </w:pPr>
      <w:r>
        <w:rPr>
          <w:rFonts w:ascii="Calibri" w:cs="Calibri" w:eastAsia="Calibri" w:hAnsi="Calibri"/>
          <w:b/>
          <w:bCs/>
          <w:color w:val="1F3864"/>
          <w:sz w:val="28"/>
          <w:szCs w:val="28"/>
        </w:rPr>
        <w:t xml:space="preserve">4. Procurement Workflow</w:t>
      </w:r>
    </w:p>
    <w:p>
      <w:pPr>
        <w:spacing w:after="140" w:line="276"/>
        <w:jc w:val="both"/>
      </w:pPr>
      <w:r>
        <w:rPr>
          <w:rFonts w:ascii="Calibri" w:cs="Calibri" w:eastAsia="Calibri" w:hAnsi="Calibri"/>
          <w:color w:val="222222"/>
          <w:sz w:val="21"/>
          <w:szCs w:val="21"/>
        </w:rPr>
        <w:t xml:space="preserve">The standard procurement workflow at Nova Manufacturing Ltd. consists of eight sequential stages: (1) need identification, (2) purchase requisition, (3) approval, (4) supplier selection or call-off against an existing contract, (5) purchase order issuance, (6) order fulfillment and delivery, (7) goods receipt and inspection, and (8) invoice matching and payment. Each stage must be completed and documented in the Company's Enterprise Resource Planning (ERP) system, NovaSourceERP, before the subsequent stage may begin, except in the case of a documented emergency purchase under Section 11.4.</w:t>
      </w:r>
    </w:p>
    <w:p>
      <w:pPr>
        <w:pStyle w:val="Heading1"/>
        <w:pBdr>
          <w:bottom w:val="single" w:color="D9D9D9" w:sz="6" w:space="4"/>
        </w:pBdr>
        <w:spacing w:after="150" w:before="300"/>
      </w:pPr>
      <w:r>
        <w:rPr>
          <w:rFonts w:ascii="Calibri" w:cs="Calibri" w:eastAsia="Calibri" w:hAnsi="Calibri"/>
          <w:b/>
          <w:bCs/>
          <w:color w:val="1F3864"/>
          <w:sz w:val="28"/>
          <w:szCs w:val="28"/>
        </w:rPr>
        <w:t xml:space="preserve">5. Purchase Request</w:t>
      </w:r>
    </w:p>
    <w:p>
      <w:pPr>
        <w:spacing w:after="140" w:line="276"/>
        <w:jc w:val="both"/>
      </w:pPr>
      <w:r>
        <w:rPr>
          <w:rFonts w:ascii="Calibri" w:cs="Calibri" w:eastAsia="Calibri" w:hAnsi="Calibri"/>
          <w:color w:val="222222"/>
          <w:sz w:val="21"/>
          <w:szCs w:val="21"/>
        </w:rPr>
        <w:t xml:space="preserve">A Purchase Request (PR) is the internal instrument by which a department identifies a business need for goods or services. All PRs shall specify: the requesting cost center, a detailed description of the goods or services required, quantity, required delivery date, suggested supplier (if any), budget line item, and estimated total cost.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400"/>
      </w:tblGrid>
      <w:tr>
        <w:trPr>
          <w:tblHeader/>
        </w:trPr>
        <w:tc>
          <w:tcPr>
            <w:tcW w:type="dxa" w:w="32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PR Value Threshold</w:t>
            </w:r>
          </w:p>
        </w:tc>
        <w:tc>
          <w:tcPr>
            <w:tcW w:type="dxa" w:w="24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Competitive Quotes Required</w:t>
            </w:r>
          </w:p>
        </w:tc>
        <w:tc>
          <w:tcPr>
            <w:tcW w:type="dxa" w:w="34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Minimum Approval Level</w:t>
            </w:r>
          </w:p>
        </w:tc>
      </w:tr>
      <w:tr>
        <w:tc>
          <w:tcPr>
            <w:tcW w:type="dxa" w:w="32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Up to $2,500</w:t>
            </w:r>
          </w:p>
        </w:tc>
        <w:tc>
          <w:tcPr>
            <w:tcW w:type="dxa" w:w="24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Not required (preferred supplier list only)</w:t>
            </w:r>
          </w:p>
        </w:tc>
        <w:tc>
          <w:tcPr>
            <w:tcW w:type="dxa" w:w="34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Department Supervisor</w:t>
            </w:r>
          </w:p>
        </w:tc>
      </w:tr>
      <w:tr>
        <w:tc>
          <w:tcPr>
            <w:tcW w:type="dxa" w:w="32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$2,501 – $25,000</w:t>
            </w:r>
          </w:p>
        </w:tc>
        <w:tc>
          <w:tcPr>
            <w:tcW w:type="dxa" w:w="24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Two (2) written quotations</w:t>
            </w:r>
          </w:p>
        </w:tc>
        <w:tc>
          <w:tcPr>
            <w:tcW w:type="dxa" w:w="34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Department Manager</w:t>
            </w:r>
          </w:p>
        </w:tc>
      </w:tr>
      <w:tr>
        <w:tc>
          <w:tcPr>
            <w:tcW w:type="dxa" w:w="32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$25,001 – $100,000</w:t>
            </w:r>
          </w:p>
        </w:tc>
        <w:tc>
          <w:tcPr>
            <w:tcW w:type="dxa" w:w="24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Three (3) written quotations</w:t>
            </w:r>
          </w:p>
        </w:tc>
        <w:tc>
          <w:tcPr>
            <w:tcW w:type="dxa" w:w="34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Procurement Manager</w:t>
            </w:r>
          </w:p>
        </w:tc>
      </w:tr>
      <w:tr>
        <w:tc>
          <w:tcPr>
            <w:tcW w:type="dxa" w:w="32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$100,001 – $500,000</w:t>
            </w:r>
          </w:p>
        </w:tc>
        <w:tc>
          <w:tcPr>
            <w:tcW w:type="dxa" w:w="24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Three (3) written quotations plus RFQ</w:t>
            </w:r>
          </w:p>
        </w:tc>
        <w:tc>
          <w:tcPr>
            <w:tcW w:type="dxa" w:w="34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Director of Procurement</w:t>
            </w:r>
          </w:p>
        </w:tc>
      </w:tr>
      <w:tr>
        <w:tc>
          <w:tcPr>
            <w:tcW w:type="dxa" w:w="32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Above $500,000</w:t>
            </w:r>
          </w:p>
        </w:tc>
        <w:tc>
          <w:tcPr>
            <w:tcW w:type="dxa" w:w="24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Formal RFP and Sourcing Committee review</w:t>
            </w:r>
          </w:p>
        </w:tc>
        <w:tc>
          <w:tcPr>
            <w:tcW w:type="dxa" w:w="34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Chief Financial Officer</w:t>
            </w:r>
          </w:p>
        </w:tc>
      </w:tr>
    </w:tbl>
    <w:p>
      <w:pPr>
        <w:pStyle w:val="Heading1"/>
        <w:pBdr>
          <w:bottom w:val="single" w:color="D9D9D9" w:sz="6" w:space="4"/>
        </w:pBdr>
        <w:spacing w:after="150" w:before="300"/>
      </w:pPr>
      <w:r>
        <w:rPr>
          <w:rFonts w:ascii="Calibri" w:cs="Calibri" w:eastAsia="Calibri" w:hAnsi="Calibri"/>
          <w:b/>
          <w:bCs/>
          <w:color w:val="1F3864"/>
          <w:sz w:val="28"/>
          <w:szCs w:val="28"/>
        </w:rPr>
        <w:t xml:space="preserve">6. Purchase Approval</w:t>
      </w:r>
    </w:p>
    <w:p>
      <w:pPr>
        <w:spacing w:after="140" w:line="276"/>
        <w:jc w:val="both"/>
      </w:pPr>
      <w:r>
        <w:rPr>
          <w:rFonts w:ascii="Calibri" w:cs="Calibri" w:eastAsia="Calibri" w:hAnsi="Calibri"/>
          <w:color w:val="222222"/>
          <w:sz w:val="21"/>
          <w:szCs w:val="21"/>
        </w:rPr>
        <w:t xml:space="preserve">Purchase Requests shall be routed electronically through NovaSourceERP for approval according to the delegated authority matrix in Section 5. Approvers must verify budget availability, confirm the business justification, and confirm that the requested supplier is active and in good standing in the Approved Supplier List (ASL) prior to approval. Any PR exceeding an approver's delegated authority shall be automatically escalated to the next authority level. Split purchase requests intended to circumvent an approval threshold are strictly prohibited and constitute a violation of this Policy.</w:t>
      </w:r>
    </w:p>
    <w:p>
      <w:pPr>
        <w:pStyle w:val="Heading1"/>
        <w:pBdr>
          <w:bottom w:val="single" w:color="D9D9D9" w:sz="6" w:space="4"/>
        </w:pBdr>
        <w:spacing w:after="150" w:before="300"/>
      </w:pPr>
      <w:r>
        <w:rPr>
          <w:rFonts w:ascii="Calibri" w:cs="Calibri" w:eastAsia="Calibri" w:hAnsi="Calibri"/>
          <w:b/>
          <w:bCs/>
          <w:color w:val="1F3864"/>
          <w:sz w:val="28"/>
          <w:szCs w:val="28"/>
        </w:rPr>
        <w:t xml:space="preserve">7. Supplier Selection</w:t>
      </w:r>
    </w:p>
    <w:p>
      <w:pPr>
        <w:spacing w:after="140" w:line="276"/>
        <w:jc w:val="both"/>
      </w:pPr>
      <w:r>
        <w:rPr>
          <w:rFonts w:ascii="Calibri" w:cs="Calibri" w:eastAsia="Calibri" w:hAnsi="Calibri"/>
          <w:color w:val="222222"/>
          <w:sz w:val="21"/>
          <w:szCs w:val="21"/>
        </w:rPr>
        <w:t xml:space="preserve">Supplier selection shall be conducted in accordance with the Supplier Evaluation Policy (NML-POL-SUPEVAL-002). Only suppliers listed on the Approved Supplier List may receive a purchase order. New suppliers must complete the qualification process described in that Policy, including submission of a completed Supplier Information Form, W-9 (or W-8BEN for foreign suppliers), certificate of insurance, and, where applicable, ISO 9001:2015 or equivalent quality certification, before onboarding into NovaSourceERP.</w:t>
      </w:r>
    </w:p>
    <w:p>
      <w:pPr>
        <w:spacing w:after="140" w:line="276"/>
        <w:jc w:val="both"/>
      </w:pPr>
      <w:r>
        <w:rPr>
          <w:rFonts w:ascii="Calibri" w:cs="Calibri" w:eastAsia="Calibri" w:hAnsi="Calibri"/>
          <w:color w:val="222222"/>
          <w:sz w:val="21"/>
          <w:szCs w:val="21"/>
        </w:rPr>
        <w:t xml:space="preserve">Sourcing events above the RFQ threshold shall be evaluated using a weighted scorecard covering price (40%), quality (25%), delivery performance (20%), and risk/financial stability (15%). The Procurement Manager shall document the basis for supplier selection, including a summary of quotations received and the rationale for any award that is not made to the lowest bidder.</w:t>
      </w:r>
    </w:p>
    <w:p>
      <w:pPr>
        <w:pStyle w:val="Heading1"/>
        <w:pBdr>
          <w:bottom w:val="single" w:color="D9D9D9" w:sz="6" w:space="4"/>
        </w:pBdr>
        <w:spacing w:after="150" w:before="300"/>
      </w:pPr>
      <w:r>
        <w:rPr>
          <w:rFonts w:ascii="Calibri" w:cs="Calibri" w:eastAsia="Calibri" w:hAnsi="Calibri"/>
          <w:b/>
          <w:bCs/>
          <w:color w:val="1F3864"/>
          <w:sz w:val="28"/>
          <w:szCs w:val="28"/>
        </w:rPr>
        <w:t xml:space="preserve">8. Purchase Orders</w:t>
      </w:r>
    </w:p>
    <w:p>
      <w:pPr>
        <w:spacing w:after="140" w:line="276"/>
        <w:jc w:val="both"/>
      </w:pPr>
      <w:r>
        <w:rPr>
          <w:rFonts w:ascii="Calibri" w:cs="Calibri" w:eastAsia="Calibri" w:hAnsi="Calibri"/>
          <w:color w:val="222222"/>
          <w:sz w:val="21"/>
          <w:szCs w:val="21"/>
        </w:rPr>
        <w:t xml:space="preserve">A Purchase Order (PO) is the binding legal instrument issued by Nova Manufacturing Ltd. to a supplier and shall reference: PO number, supplier name and address, itemized products or services, unit pricing, quantities, agreed Incoterms, delivery address and required delivery date, payment terms, and applicable contract number (if a master supply agreement is in effect). No goods or services shall be ordered without a corresponding approved PO, except for petty cash purchases under $250 processed through the Facilities corporate card program.</w:t>
      </w:r>
    </w:p>
    <w:p>
      <w:pPr>
        <w:spacing w:after="140" w:line="276"/>
        <w:jc w:val="both"/>
      </w:pPr>
      <w:r>
        <w:rPr>
          <w:rFonts w:ascii="Calibri" w:cs="Calibri" w:eastAsia="Calibri" w:hAnsi="Calibri"/>
          <w:color w:val="222222"/>
          <w:sz w:val="21"/>
          <w:szCs w:val="21"/>
        </w:rPr>
        <w:t xml:space="preserve">PO amendments (change orders) affecting price, quantity, or delivery date by more than 10% require re-approval at the original approval level. All POs shall be transmitted to suppliers through NovaSourceERP or, for suppliers not yet integrated, by email from an authorized Procurement mailbox.</w:t>
      </w:r>
    </w:p>
    <w:p>
      <w:pPr>
        <w:pStyle w:val="Heading1"/>
        <w:pBdr>
          <w:bottom w:val="single" w:color="D9D9D9" w:sz="6" w:space="4"/>
        </w:pBdr>
        <w:spacing w:after="150" w:before="300"/>
      </w:pPr>
      <w:r>
        <w:rPr>
          <w:rFonts w:ascii="Calibri" w:cs="Calibri" w:eastAsia="Calibri" w:hAnsi="Calibri"/>
          <w:b/>
          <w:bCs/>
          <w:color w:val="1F3864"/>
          <w:sz w:val="28"/>
          <w:szCs w:val="28"/>
        </w:rPr>
        <w:t xml:space="preserve">9. Contract Management</w:t>
      </w:r>
    </w:p>
    <w:p>
      <w:pPr>
        <w:spacing w:after="140" w:line="276"/>
        <w:jc w:val="both"/>
      </w:pPr>
      <w:r>
        <w:rPr>
          <w:rFonts w:ascii="Calibri" w:cs="Calibri" w:eastAsia="Calibri" w:hAnsi="Calibri"/>
          <w:color w:val="222222"/>
          <w:sz w:val="21"/>
          <w:szCs w:val="21"/>
        </w:rPr>
        <w:t xml:space="preserve">Master Supply Agreements, Framework Agreements, and Statements of Work shall be maintained in the Company's central contract repository and reviewed by the Legal Department prior to execution. Contract owners within Procurement are responsible for tracking key dates, including renewal windows, price review dates, and expiration, and for initiating renewal or re-bid activity no later than 90 days prior to contract expiration. All contracts with a term exceeding 12 months must include a right-to-audit clause and a defined price adjustment mechanism.</w:t>
      </w:r>
    </w:p>
    <w:p>
      <w:pPr>
        <w:pStyle w:val="Heading1"/>
        <w:pBdr>
          <w:bottom w:val="single" w:color="D9D9D9" w:sz="6" w:space="4"/>
        </w:pBdr>
        <w:spacing w:after="150" w:before="300"/>
      </w:pPr>
      <w:r>
        <w:rPr>
          <w:rFonts w:ascii="Calibri" w:cs="Calibri" w:eastAsia="Calibri" w:hAnsi="Calibri"/>
          <w:b/>
          <w:bCs/>
          <w:color w:val="1F3864"/>
          <w:sz w:val="28"/>
          <w:szCs w:val="28"/>
        </w:rPr>
        <w:t xml:space="preserve">10. Delivery Management</w:t>
      </w:r>
    </w:p>
    <w:p>
      <w:pPr>
        <w:spacing w:after="140" w:line="276"/>
        <w:jc w:val="both"/>
      </w:pPr>
      <w:r>
        <w:rPr>
          <w:rFonts w:ascii="Calibri" w:cs="Calibri" w:eastAsia="Calibri" w:hAnsi="Calibri"/>
          <w:color w:val="222222"/>
          <w:sz w:val="21"/>
          <w:szCs w:val="21"/>
        </w:rPr>
        <w:t xml:space="preserve">Receiving personnel shall verify all inbound shipments against the applicable PO for quantity, part number, and condition at the time of receipt, and shall complete a Goods Receipt Note (GRN) in NovaSourceERP within one business day of physical receipt. Discrepancies between the GRN and the PO (over-shipment, under-shipment, or visible damage) shall be logged as a receiving exception and communicated to the supplier and the Procurement Manager within two business days. Incoming inspection requirements are defined per-supplier in the applicable Supplier Contract and the Supplier Evaluation Policy.</w:t>
      </w:r>
    </w:p>
    <w:p>
      <w:pPr>
        <w:pStyle w:val="Heading1"/>
        <w:pBdr>
          <w:bottom w:val="single" w:color="D9D9D9" w:sz="6" w:space="4"/>
        </w:pBdr>
        <w:spacing w:after="150" w:before="300"/>
      </w:pPr>
      <w:r>
        <w:rPr>
          <w:rFonts w:ascii="Calibri" w:cs="Calibri" w:eastAsia="Calibri" w:hAnsi="Calibri"/>
          <w:b/>
          <w:bCs/>
          <w:color w:val="1F3864"/>
          <w:sz w:val="28"/>
          <w:szCs w:val="28"/>
        </w:rPr>
        <w:t xml:space="preserve">11. Payment Process</w:t>
      </w:r>
    </w:p>
    <w:p>
      <w:pPr>
        <w:spacing w:after="140" w:line="276"/>
        <w:jc w:val="both"/>
      </w:pPr>
      <w:r>
        <w:rPr>
          <w:rFonts w:ascii="Calibri" w:cs="Calibri" w:eastAsia="Calibri" w:hAnsi="Calibri"/>
          <w:color w:val="222222"/>
          <w:sz w:val="21"/>
          <w:szCs w:val="21"/>
        </w:rPr>
        <w:t xml:space="preserve">Accounts Payable shall process supplier invoices using a three-way match of the Purchase Order, the Goods Receipt Note, and the supplier invoice. Invoices shall not be paid until all three documents reconcile within the Company's tolerance of 2% on quantity and price. Payment terms are negotiated per supplier and stated in the applicable Supplier Contract; standard Company terms default to Net 30 from the invoice date unless otherwise negotiated. Early payment discounts offered by suppliers (for example, 2%/10 Net 30) shall be captured whenever cash flow permits.</w:t>
      </w:r>
    </w:p>
    <w:p>
      <w:pPr>
        <w:pStyle w:val="Heading2"/>
        <w:spacing w:after="120" w:before="240"/>
      </w:pPr>
      <w:r>
        <w:rPr>
          <w:rFonts w:ascii="Calibri" w:cs="Calibri" w:eastAsia="Calibri" w:hAnsi="Calibri"/>
          <w:b/>
          <w:bCs/>
          <w:color w:val="44546A"/>
          <w:sz w:val="24"/>
          <w:szCs w:val="24"/>
        </w:rPr>
        <w:t xml:space="preserve">11.4 Emergency Purchases</w:t>
      </w:r>
    </w:p>
    <w:p>
      <w:pPr>
        <w:spacing w:after="140" w:line="276"/>
        <w:jc w:val="both"/>
      </w:pPr>
      <w:r>
        <w:rPr>
          <w:rFonts w:ascii="Calibri" w:cs="Calibri" w:eastAsia="Calibri" w:hAnsi="Calibri"/>
          <w:color w:val="222222"/>
          <w:sz w:val="21"/>
          <w:szCs w:val="21"/>
        </w:rPr>
        <w:t xml:space="preserve">In the event of an unplanned production stoppage or safety-critical failure, a Department Manager may authorize an emergency purchase up to $15,000 without prior competitive quotation, provided that a PR is entered retroactively within two business days and countersigned by the Procurement Manager. All emergency purchases are reported monthly to the Director of Procurement.</w:t>
      </w:r>
    </w:p>
    <w:p>
      <w:pPr>
        <w:pStyle w:val="Heading1"/>
        <w:pBdr>
          <w:bottom w:val="single" w:color="D9D9D9" w:sz="6" w:space="4"/>
        </w:pBdr>
        <w:spacing w:after="150" w:before="300"/>
      </w:pPr>
      <w:r>
        <w:rPr>
          <w:rFonts w:ascii="Calibri" w:cs="Calibri" w:eastAsia="Calibri" w:hAnsi="Calibri"/>
          <w:b/>
          <w:bCs/>
          <w:color w:val="1F3864"/>
          <w:sz w:val="28"/>
          <w:szCs w:val="28"/>
        </w:rPr>
        <w:t xml:space="preserve">12. Risk Management</w:t>
      </w:r>
    </w:p>
    <w:p>
      <w:pPr>
        <w:spacing w:after="140" w:line="276"/>
        <w:jc w:val="both"/>
      </w:pPr>
      <w:r>
        <w:rPr>
          <w:rFonts w:ascii="Calibri" w:cs="Calibri" w:eastAsia="Calibri" w:hAnsi="Calibri"/>
          <w:color w:val="222222"/>
          <w:sz w:val="21"/>
          <w:szCs w:val="21"/>
        </w:rPr>
        <w:t xml:space="preserve">Procurement shall maintain a supply risk register identifying single-source and sole-source suppliers, suppliers located in geographies subject to elevated geopolitical, tariff, or natural-disaster risk, and suppliers representing greater than 15% of category spend. High-risk suppliers shall be subject to an annual business continuity review and, where feasible, a qualified second source shall be identified and maintained for critical components.</w:t>
      </w:r>
    </w:p>
    <w:p>
      <w:pPr>
        <w:pStyle w:val="Heading1"/>
        <w:pBdr>
          <w:bottom w:val="single" w:color="D9D9D9" w:sz="6" w:space="4"/>
        </w:pBdr>
        <w:spacing w:after="150" w:before="300"/>
      </w:pPr>
      <w:r>
        <w:rPr>
          <w:rFonts w:ascii="Calibri" w:cs="Calibri" w:eastAsia="Calibri" w:hAnsi="Calibri"/>
          <w:b/>
          <w:bCs/>
          <w:color w:val="1F3864"/>
          <w:sz w:val="28"/>
          <w:szCs w:val="28"/>
        </w:rPr>
        <w:t xml:space="preserve">13. Compliance</w:t>
      </w:r>
    </w:p>
    <w:p>
      <w:pPr>
        <w:spacing w:after="140" w:line="276"/>
        <w:jc w:val="both"/>
      </w:pPr>
      <w:r>
        <w:rPr>
          <w:rFonts w:ascii="Calibri" w:cs="Calibri" w:eastAsia="Calibri" w:hAnsi="Calibri"/>
          <w:color w:val="222222"/>
          <w:sz w:val="21"/>
          <w:szCs w:val="21"/>
        </w:rPr>
        <w:t xml:space="preserve">All procurement activity shall comply with the Federal Acquisition Regulation where applicable to government-adjacent contracts, the Foreign Corrupt Practices Act, applicable U.S. export control regulations (EAR/ITAR) for electronics and controlled components, and all environmental and labor laws applicable to the Company's supply base. Suppliers of electronic components must provide Restriction of Hazardous Substances (RoHS) and Registration, Evaluation, Authorisation and Restriction of Chemicals (REACH) compliance declarations where applicable.</w:t>
      </w:r>
    </w:p>
    <w:p>
      <w:pPr>
        <w:pStyle w:val="Heading1"/>
        <w:pBdr>
          <w:bottom w:val="single" w:color="D9D9D9" w:sz="6" w:space="4"/>
        </w:pBdr>
        <w:spacing w:after="150" w:before="300"/>
      </w:pPr>
      <w:r>
        <w:rPr>
          <w:rFonts w:ascii="Calibri" w:cs="Calibri" w:eastAsia="Calibri" w:hAnsi="Calibri"/>
          <w:b/>
          <w:bCs/>
          <w:color w:val="1F3864"/>
          <w:sz w:val="28"/>
          <w:szCs w:val="28"/>
        </w:rPr>
        <w:t xml:space="preserve">14. Ethical Procurement</w:t>
      </w:r>
    </w:p>
    <w:p>
      <w:pPr>
        <w:spacing w:after="140" w:line="276"/>
        <w:jc w:val="both"/>
      </w:pPr>
      <w:r>
        <w:rPr>
          <w:rFonts w:ascii="Calibri" w:cs="Calibri" w:eastAsia="Calibri" w:hAnsi="Calibri"/>
          <w:color w:val="222222"/>
          <w:sz w:val="21"/>
          <w:szCs w:val="21"/>
        </w:rPr>
        <w:t xml:space="preserve">Employees involved in procurement decisions shall not accept gifts, hospitality, or favors from any current or prospective supplier with a value exceeding $75 in aggregate per calendar year, and shall disclose any personal or familial relationship with a supplier prior to participating in a sourcing decision involving that supplier. Nova Manufacturing Ltd. maintains a zero-tolerance policy toward bribery, kickbacks, bid-rigging, and collusive bidding. Suspected violations shall be reported through the Company's confidential Ethics Hotline.</w:t>
      </w:r>
    </w:p>
    <w:p>
      <w:pPr>
        <w:pStyle w:val="Heading1"/>
        <w:pBdr>
          <w:bottom w:val="single" w:color="D9D9D9" w:sz="6" w:space="4"/>
        </w:pBdr>
        <w:spacing w:after="150" w:before="300"/>
      </w:pPr>
      <w:r>
        <w:rPr>
          <w:rFonts w:ascii="Calibri" w:cs="Calibri" w:eastAsia="Calibri" w:hAnsi="Calibri"/>
          <w:b/>
          <w:bCs/>
          <w:color w:val="1F3864"/>
          <w:sz w:val="28"/>
          <w:szCs w:val="28"/>
        </w:rPr>
        <w:t xml:space="preserve">15. Procurement KPIs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2800"/>
        <w:gridCol w:w="2600"/>
      </w:tblGrid>
      <w:tr>
        <w:trPr>
          <w:tblHeader/>
        </w:trPr>
        <w:tc>
          <w:tcPr>
            <w:tcW w:type="dxa" w:w="36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KPI</w:t>
            </w:r>
          </w:p>
        </w:tc>
        <w:tc>
          <w:tcPr>
            <w:tcW w:type="dxa" w:w="28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Target</w:t>
            </w:r>
          </w:p>
        </w:tc>
        <w:tc>
          <w:tcPr>
            <w:tcW w:type="dxa" w:w="26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Reporting Frequency</w:t>
            </w:r>
          </w:p>
        </w:tc>
      </w:tr>
      <w:tr>
        <w:tc>
          <w:tcPr>
            <w:tcW w:type="dxa" w:w="36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On-Time Delivery Rate</w:t>
            </w:r>
          </w:p>
        </w:tc>
        <w:tc>
          <w:tcPr>
            <w:tcW w:type="dxa" w:w="28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 95%</w:t>
            </w:r>
          </w:p>
        </w:tc>
        <w:tc>
          <w:tcPr>
            <w:tcW w:type="dxa" w:w="26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Monthly</w:t>
            </w:r>
          </w:p>
        </w:tc>
      </w:tr>
      <w:tr>
        <w:tc>
          <w:tcPr>
            <w:tcW w:type="dxa" w:w="36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Purchase Order Cycle Time</w:t>
            </w:r>
          </w:p>
        </w:tc>
        <w:tc>
          <w:tcPr>
            <w:tcW w:type="dxa" w:w="28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 3 business days</w:t>
            </w:r>
          </w:p>
        </w:tc>
        <w:tc>
          <w:tcPr>
            <w:tcW w:type="dxa" w:w="26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Monthly</w:t>
            </w:r>
          </w:p>
        </w:tc>
      </w:tr>
      <w:tr>
        <w:tc>
          <w:tcPr>
            <w:tcW w:type="dxa" w:w="36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Cost Savings vs. Prior Year</w:t>
            </w:r>
          </w:p>
        </w:tc>
        <w:tc>
          <w:tcPr>
            <w:tcW w:type="dxa" w:w="28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 4% category spend</w:t>
            </w:r>
          </w:p>
        </w:tc>
        <w:tc>
          <w:tcPr>
            <w:tcW w:type="dxa" w:w="26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Quarterly</w:t>
            </w:r>
          </w:p>
        </w:tc>
      </w:tr>
      <w:tr>
        <w:tc>
          <w:tcPr>
            <w:tcW w:type="dxa" w:w="36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Supplier Quality Score (average)</w:t>
            </w:r>
          </w:p>
        </w:tc>
        <w:tc>
          <w:tcPr>
            <w:tcW w:type="dxa" w:w="28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 90 / 100</w:t>
            </w:r>
          </w:p>
        </w:tc>
        <w:tc>
          <w:tcPr>
            <w:tcW w:type="dxa" w:w="26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Quarterly</w:t>
            </w:r>
          </w:p>
        </w:tc>
      </w:tr>
      <w:tr>
        <w:tc>
          <w:tcPr>
            <w:tcW w:type="dxa" w:w="36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Percentage of Spend under Contract</w:t>
            </w:r>
          </w:p>
        </w:tc>
        <w:tc>
          <w:tcPr>
            <w:tcW w:type="dxa" w:w="28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 85%</w:t>
            </w:r>
          </w:p>
        </w:tc>
        <w:tc>
          <w:tcPr>
            <w:tcW w:type="dxa" w:w="26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Quarterly</w:t>
            </w:r>
          </w:p>
        </w:tc>
      </w:tr>
      <w:tr>
        <w:tc>
          <w:tcPr>
            <w:tcW w:type="dxa" w:w="36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Maverick (off-contract) Spend</w:t>
            </w:r>
          </w:p>
        </w:tc>
        <w:tc>
          <w:tcPr>
            <w:tcW w:type="dxa" w:w="28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 5%</w:t>
            </w:r>
          </w:p>
        </w:tc>
        <w:tc>
          <w:tcPr>
            <w:tcW w:type="dxa" w:w="26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Monthly</w:t>
            </w:r>
          </w:p>
        </w:tc>
      </w:tr>
    </w:tbl>
    <w:p>
      <w:pPr>
        <w:pStyle w:val="Heading1"/>
        <w:pBdr>
          <w:bottom w:val="single" w:color="D9D9D9" w:sz="6" w:space="4"/>
        </w:pBdr>
        <w:spacing w:after="150" w:before="300"/>
      </w:pPr>
      <w:r>
        <w:rPr>
          <w:rFonts w:ascii="Calibri" w:cs="Calibri" w:eastAsia="Calibri" w:hAnsi="Calibri"/>
          <w:b/>
          <w:bCs/>
          <w:color w:val="1F3864"/>
          <w:sz w:val="28"/>
          <w:szCs w:val="28"/>
        </w:rPr>
        <w:t xml:space="preserve">16. Roles &amp; Responsibilities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Role</w:t>
            </w:r>
          </w:p>
        </w:tc>
        <w:tc>
          <w:tcPr>
            <w:tcW w:type="dxa" w:w="64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Responsibility</w:t>
            </w:r>
          </w:p>
        </w:tc>
      </w:tr>
      <w:tr>
        <w:tc>
          <w:tcPr>
            <w:tcW w:type="dxa" w:w="26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Requester</w:t>
            </w:r>
          </w:p>
        </w:tc>
        <w:tc>
          <w:tcPr>
            <w:tcW w:type="dxa" w:w="64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Identifies business need and raises a Purchase Request with complete specifications.</w:t>
            </w:r>
          </w:p>
        </w:tc>
      </w:tr>
      <w:tr>
        <w:tc>
          <w:tcPr>
            <w:tcW w:type="dxa" w:w="26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Department Manager</w:t>
            </w:r>
          </w:p>
        </w:tc>
        <w:tc>
          <w:tcPr>
            <w:tcW w:type="dxa" w:w="64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Approves Purchase Requests within delegated authority and validates budget.</w:t>
            </w:r>
          </w:p>
        </w:tc>
      </w:tr>
      <w:tr>
        <w:tc>
          <w:tcPr>
            <w:tcW w:type="dxa" w:w="26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Procurement Manager</w:t>
            </w:r>
          </w:p>
        </w:tc>
        <w:tc>
          <w:tcPr>
            <w:tcW w:type="dxa" w:w="64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Runs sourcing events, negotiates terms, approves supplier selection, and manages the Approved Supplier List.</w:t>
            </w:r>
          </w:p>
        </w:tc>
      </w:tr>
      <w:tr>
        <w:tc>
          <w:tcPr>
            <w:tcW w:type="dxa" w:w="26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Director of Procurement</w:t>
            </w:r>
          </w:p>
        </w:tc>
        <w:tc>
          <w:tcPr>
            <w:tcW w:type="dxa" w:w="64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Approves high-value purchases and contracts, owns this Policy, and chairs the Sourcing Committee.</w:t>
            </w:r>
          </w:p>
        </w:tc>
      </w:tr>
      <w:tr>
        <w:tc>
          <w:tcPr>
            <w:tcW w:type="dxa" w:w="26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Legal Department</w:t>
            </w:r>
          </w:p>
        </w:tc>
        <w:tc>
          <w:tcPr>
            <w:tcW w:type="dxa" w:w="64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Reviews and approves supplier contracts, master agreements, and non-standard terms.</w:t>
            </w:r>
          </w:p>
        </w:tc>
      </w:tr>
      <w:tr>
        <w:tc>
          <w:tcPr>
            <w:tcW w:type="dxa" w:w="26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Accounts Payable</w:t>
            </w:r>
          </w:p>
        </w:tc>
        <w:tc>
          <w:tcPr>
            <w:tcW w:type="dxa" w:w="64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Performs three-way invoice matching and executes supplier payments.</w:t>
            </w:r>
          </w:p>
        </w:tc>
      </w:tr>
      <w:tr>
        <w:tc>
          <w:tcPr>
            <w:tcW w:type="dxa" w:w="26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Quality Assurance</w:t>
            </w:r>
          </w:p>
        </w:tc>
        <w:tc>
          <w:tcPr>
            <w:tcW w:type="dxa" w:w="64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Defines incoming inspection criteria and conducts supplier quality audits.</w:t>
            </w:r>
          </w:p>
        </w:tc>
      </w:tr>
    </w:tbl>
    <w:p>
      <w:pPr>
        <w:pStyle w:val="Heading1"/>
        <w:pBdr>
          <w:bottom w:val="single" w:color="D9D9D9" w:sz="6" w:space="4"/>
        </w:pBdr>
        <w:spacing w:after="150" w:before="300"/>
      </w:pPr>
      <w:r>
        <w:rPr>
          <w:rFonts w:ascii="Calibri" w:cs="Calibri" w:eastAsia="Calibri" w:hAnsi="Calibri"/>
          <w:b/>
          <w:bCs/>
          <w:color w:val="1F3864"/>
          <w:sz w:val="28"/>
          <w:szCs w:val="28"/>
        </w:rPr>
        <w:t xml:space="preserve">17. Record Retention</w:t>
      </w:r>
    </w:p>
    <w:p>
      <w:pPr>
        <w:spacing w:after="140" w:line="276"/>
        <w:jc w:val="both"/>
      </w:pPr>
      <w:r>
        <w:rPr>
          <w:rFonts w:ascii="Calibri" w:cs="Calibri" w:eastAsia="Calibri" w:hAnsi="Calibri"/>
          <w:color w:val="222222"/>
          <w:sz w:val="21"/>
          <w:szCs w:val="21"/>
        </w:rPr>
        <w:t xml:space="preserve">Purchase Requests, Purchase Orders, supplier contracts, quotations, Goods Receipt Notes, and inspection reports shall be retained for a minimum of seven (7) years following contract expiration or final payment, whichever is later, in accordance with Nova Manufacturing Ltd.'s corporate Record Retention Schedule (NML-POL-REC-014) and applicable Internal Revenue Service recordkeeping requirements. Records shall be retained electronically within NovaSourceERP and the central contract repository.</w:t>
      </w:r>
    </w:p>
    <w:p>
      <w:pPr>
        <w:pStyle w:val="Heading1"/>
        <w:pBdr>
          <w:bottom w:val="single" w:color="D9D9D9" w:sz="6" w:space="4"/>
        </w:pBdr>
        <w:spacing w:after="150" w:before="300"/>
      </w:pPr>
      <w:r>
        <w:rPr>
          <w:rFonts w:ascii="Calibri" w:cs="Calibri" w:eastAsia="Calibri" w:hAnsi="Calibri"/>
          <w:b/>
          <w:bCs/>
          <w:color w:val="1F3864"/>
          <w:sz w:val="28"/>
          <w:szCs w:val="28"/>
        </w:rPr>
        <w:t xml:space="preserve">18. Policy Review</w:t>
      </w:r>
    </w:p>
    <w:p>
      <w:pPr>
        <w:spacing w:after="140" w:line="276"/>
        <w:jc w:val="both"/>
      </w:pPr>
      <w:r>
        <w:rPr>
          <w:rFonts w:ascii="Calibri" w:cs="Calibri" w:eastAsia="Calibri" w:hAnsi="Calibri"/>
          <w:color w:val="222222"/>
          <w:sz w:val="21"/>
          <w:szCs w:val="21"/>
        </w:rPr>
        <w:t xml:space="preserve">This Policy shall be reviewed no less frequently than annually by the Director of Procurement in consultation with the Legal Department and Finance, and updated as necessary to reflect changes in applicable law, organizational structure, or business requirements. Material changes require approval by the Chief Financial Officer. This version supersedes all prior versions of the Procurement Policy effective as of the Revision Date stated on the title page.</w:t>
      </w:r>
    </w:p>
    <w:sectPr>
      <w:headerReference w:type="default" r:id="rId9"/>
      <w:footerReference w:type="default" r:id="rId10"/>
      <w:pgSz w:w="12240" w:h="15840" w:orient="portrait"/>
      <w:pgMar w:top="1080" w:right="1260" w:bottom="1080" w:left="1260" w:header="708" w:footer="708"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6" w:space="4"/>
      </w:pBdr>
      <w:tabs>
        <w:tab w:val="right" w:pos="9026"/>
      </w:tabs>
    </w:pPr>
    <w:r>
      <w:rPr>
        <w:rFonts w:ascii="Calibri" w:cs="Calibri" w:eastAsia="Calibri" w:hAnsi="Calibri"/>
        <w:color w:val="44546A"/>
        <w:sz w:val="16"/>
        <w:szCs w:val="16"/>
      </w:rPr>
      <w:t xml:space="preserve">Document ID: NML-POL-PROC-001</w:t>
    </w:r>
    <w:r>
      <w:rPr>
        <w:rFonts w:ascii="Calibri" w:cs="Calibri" w:eastAsia="Calibri" w:hAnsi="Calibri"/>
        <w:color w:val="44546A"/>
        <w:sz w:val="16"/>
        <w:szCs w:val="16"/>
      </w:rPr>
      <w:t xml:space="preserve">	Page </w:t>
    </w:r>
    <w:r>
      <w:rPr>
        <w:rFonts w:ascii="Calibri" w:cs="Calibri" w:eastAsia="Calibri" w:hAnsi="Calibri"/>
        <w:color w:val="44546A"/>
        <w:sz w:val="16"/>
        <w:szCs w:val="16"/>
      </w:rPr>
      <w:fldChar w:fldCharType="begin"/>
      <w:instrText xml:space="preserve">PAGE</w:instrText>
      <w:fldChar w:fldCharType="separate"/>
      <w:fldChar w:fldCharType="end"/>
    </w:r>
    <w:r>
      <w:rPr>
        <w:rFonts w:ascii="Calibri" w:cs="Calibri" w:eastAsia="Calibri" w:hAnsi="Calibri"/>
        <w:color w:val="44546A"/>
        <w:sz w:val="16"/>
        <w:szCs w:val="16"/>
      </w:rPr>
      <w:t xml:space="preserve"> of </w:t>
    </w:r>
    <w:r>
      <w:rPr>
        <w:rFonts w:ascii="Calibri" w:cs="Calibri" w:eastAsia="Calibri" w:hAnsi="Calibri"/>
        <w:color w:val="44546A"/>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6" w:space="4"/>
      </w:pBdr>
      <w:tabs>
        <w:tab w:val="right" w:pos="9026"/>
      </w:tabs>
    </w:pPr>
    <w:r>
      <w:rPr>
        <w:rFonts w:ascii="Calibri" w:cs="Calibri" w:eastAsia="Calibri" w:hAnsi="Calibri"/>
        <w:color w:val="44546A"/>
        <w:sz w:val="16"/>
        <w:szCs w:val="16"/>
      </w:rPr>
      <w:t xml:space="preserve">Document ID: NML-POL-PROC-001</w:t>
    </w:r>
    <w:r>
      <w:rPr>
        <w:rFonts w:ascii="Calibri" w:cs="Calibri" w:eastAsia="Calibri" w:hAnsi="Calibri"/>
        <w:color w:val="44546A"/>
        <w:sz w:val="16"/>
        <w:szCs w:val="16"/>
      </w:rPr>
      <w:t xml:space="preserve">	Page </w:t>
    </w:r>
    <w:r>
      <w:rPr>
        <w:rFonts w:ascii="Calibri" w:cs="Calibri" w:eastAsia="Calibri" w:hAnsi="Calibri"/>
        <w:color w:val="44546A"/>
        <w:sz w:val="16"/>
        <w:szCs w:val="16"/>
      </w:rPr>
      <w:fldChar w:fldCharType="begin"/>
      <w:instrText xml:space="preserve">PAGE</w:instrText>
      <w:fldChar w:fldCharType="separate"/>
      <w:fldChar w:fldCharType="end"/>
    </w:r>
    <w:r>
      <w:rPr>
        <w:rFonts w:ascii="Calibri" w:cs="Calibri" w:eastAsia="Calibri" w:hAnsi="Calibri"/>
        <w:color w:val="44546A"/>
        <w:sz w:val="16"/>
        <w:szCs w:val="16"/>
      </w:rPr>
      <w:t xml:space="preserve"> of </w:t>
    </w:r>
    <w:r>
      <w:rPr>
        <w:rFonts w:ascii="Calibri" w:cs="Calibri" w:eastAsia="Calibri" w:hAnsi="Calibri"/>
        <w:color w:val="44546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tabs>
        <w:tab w:val="right" w:pos="9026"/>
      </w:tabs>
    </w:pPr>
    <w:r>
      <w:rPr>
        <w:rFonts w:ascii="Calibri" w:cs="Calibri" w:eastAsia="Calibri" w:hAnsi="Calibri"/>
        <w:b/>
        <w:bCs/>
        <w:color w:val="1F3864"/>
        <w:sz w:val="18"/>
        <w:szCs w:val="18"/>
      </w:rPr>
      <w:t xml:space="preserve">Nova Manufacturing Ltd.</w:t>
    </w:r>
    <w:r>
      <w:rPr>
        <w:rFonts w:ascii="Calibri" w:cs="Calibri" w:eastAsia="Calibri" w:hAnsi="Calibri"/>
        <w:i/>
        <w:iCs/>
        <w:color w:val="44546A"/>
        <w:sz w:val="18"/>
        <w:szCs w:val="18"/>
      </w:rPr>
      <w:t xml:space="preserve">	Procurement Policy</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tabs>
        <w:tab w:val="right" w:pos="9026"/>
      </w:tabs>
    </w:pPr>
    <w:r>
      <w:rPr>
        <w:rFonts w:ascii="Calibri" w:cs="Calibri" w:eastAsia="Calibri" w:hAnsi="Calibri"/>
        <w:b/>
        <w:bCs/>
        <w:color w:val="1F3864"/>
        <w:sz w:val="18"/>
        <w:szCs w:val="18"/>
      </w:rPr>
      <w:t xml:space="preserve">Nova Manufacturing Ltd.</w:t>
    </w:r>
    <w:r>
      <w:rPr>
        <w:rFonts w:ascii="Calibri" w:cs="Calibri" w:eastAsia="Calibri" w:hAnsi="Calibri"/>
        <w:i/>
        <w:iCs/>
        <w:color w:val="44546A"/>
        <w:sz w:val="18"/>
        <w:szCs w:val="18"/>
      </w:rPr>
      <w:t xml:space="preserve">	Procurement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lvl w:ilvl="1" w15:tentative="1">
      <w:start w:val="1"/>
      <w:numFmt w:val="lowerLetter"/>
      <w:lvlText w:val="%2)"/>
      <w:lvlJc w:val="left"/>
      <w:pPr>
        <w:ind w:left="9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2026-07-19T17:21:31.083Z</dcterms:created>
  <dcterms:modified xsi:type="dcterms:W3CDTF">2026-07-19T17:21:31.100Z</dcterms:modified>
</cp:coreProperties>
</file>

<file path=docProps/custom.xml><?xml version="1.0" encoding="utf-8"?>
<Properties xmlns="http://schemas.openxmlformats.org/officeDocument/2006/custom-properties" xmlns:vt="http://schemas.openxmlformats.org/officeDocument/2006/docPropsVTypes"/>
</file>