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drawing>
          <wp:inline distB="0" distT="0" distL="0" distR="0">
            <wp:extent cx="866775" cy="1076325"/>
            <wp:effectExtent b="0" l="0" r="0" t="0"/>
            <wp:docPr descr="https://scontent-sjc2-1.xx.fbcdn.net/hphotos-xpf1/v/t1.0-9/12417847_1141297109221723_198468143805981971_n.jpg?oh=376355f2cf782a6bcfbd60583c57e911&amp;oe=5741D64E" id="1" name="image1.jpg"/>
            <a:graphic>
              <a:graphicData uri="http://schemas.openxmlformats.org/drawingml/2006/picture">
                <pic:pic>
                  <pic:nvPicPr>
                    <pic:cNvPr descr="https://scontent-sjc2-1.xx.fbcdn.net/hphotos-xpf1/v/t1.0-9/12417847_1141297109221723_198468143805981971_n.jpg?oh=376355f2cf782a6bcfbd60583c57e911&amp;oe=5741D64E" id="0" name="image1.jpg"/>
                    <pic:cNvPicPr preferRelativeResize="0"/>
                  </pic:nvPicPr>
                  <pic:blipFill>
                    <a:blip r:embed="rId6"/>
                    <a:srcRect b="0" l="0" r="0" t="0"/>
                    <a:stretch>
                      <a:fillRect/>
                    </a:stretch>
                  </pic:blipFill>
                  <pic:spPr>
                    <a:xfrm>
                      <a:off x="0" y="0"/>
                      <a:ext cx="8667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ESCUELA SUPERIOR POLITÉCNICA AGROPECUARIA DE MANABÍ MANUEL FÉLIX LÓPEZ</w:t>
      </w:r>
    </w:p>
    <w:p w:rsidR="00000000" w:rsidDel="00000000" w:rsidP="00000000" w:rsidRDefault="00000000" w:rsidRPr="00000000" w14:paraId="00000003">
      <w:pPr>
        <w:jc w:val="cente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CARRERA DE COMPUTACIÓN</w:t>
      </w:r>
    </w:p>
    <w:p w:rsidR="00000000" w:rsidDel="00000000" w:rsidP="00000000" w:rsidRDefault="00000000" w:rsidRPr="00000000" w14:paraId="00000005">
      <w:pPr>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PERFIL DE TRABAJO DE INTEGRACIÓN CURRICULAR</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MECANISMO: SISTEMATIZACIÓN DE EXPERIENCIAS PRÁCTICAS DE INVESTIGACIÓN Y/O INTERVENCIÓN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TEMA: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SISTEMA WEB PARA GESTIONAR EL DESARROLLO DE LOS PROCESOS DE LA EDITORIAL HUMUS</w:t>
      </w:r>
    </w:p>
    <w:p w:rsidR="00000000" w:rsidDel="00000000" w:rsidP="00000000" w:rsidRDefault="00000000" w:rsidRPr="00000000" w14:paraId="0000000F">
      <w:pPr>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AUTORES: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RAQUEL DOLORES INTRIAGO PICO</w:t>
      </w:r>
    </w:p>
    <w:p w:rsidR="00000000" w:rsidDel="00000000" w:rsidP="00000000" w:rsidRDefault="00000000" w:rsidRPr="00000000" w14:paraId="00000013">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GEMA MONSERRATE LOOR SOLÓRZANO</w:t>
      </w:r>
    </w:p>
    <w:p w:rsidR="00000000" w:rsidDel="00000000" w:rsidP="00000000" w:rsidRDefault="00000000" w:rsidRPr="00000000" w14:paraId="00000014">
      <w:pPr>
        <w:rPr>
          <w:rFonts w:ascii="Arial" w:cs="Arial" w:eastAsia="Arial" w:hAnsi="Arial"/>
          <w:b w:val="1"/>
          <w:color w:val="000000"/>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15">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TUTOR:</w:t>
      </w:r>
    </w:p>
    <w:p w:rsidR="00000000" w:rsidDel="00000000" w:rsidP="00000000" w:rsidRDefault="00000000" w:rsidRPr="00000000" w14:paraId="00000016">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ING. VÍCTOR JOEL PINARGOTE BRAVO, MGTR.</w:t>
      </w:r>
    </w:p>
    <w:p w:rsidR="00000000" w:rsidDel="00000000" w:rsidP="00000000" w:rsidRDefault="00000000" w:rsidRPr="00000000" w14:paraId="00000017">
      <w:pPr>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CALCETA, NOVIEMBRE DE 2021</w:t>
      </w: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1080" w:hanging="720"/>
        <w:jc w:val="center"/>
        <w:rPr>
          <w:rFonts w:ascii="Arial" w:cs="Arial" w:eastAsia="Arial" w:hAnsi="Arial"/>
          <w:b w:val="1"/>
          <w:color w:val="000000"/>
        </w:rPr>
      </w:pPr>
      <w:r w:rsidDel="00000000" w:rsidR="00000000" w:rsidRPr="00000000">
        <w:rPr>
          <w:rFonts w:ascii="Arial" w:cs="Arial" w:eastAsia="Arial" w:hAnsi="Arial"/>
          <w:b w:val="1"/>
          <w:color w:val="000000"/>
          <w:sz w:val="32"/>
          <w:szCs w:val="32"/>
          <w:rtl w:val="0"/>
        </w:rPr>
        <w:t xml:space="preserve">ANTECEDENTES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108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spacing w:before="24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I.1. </w:t>
      </w: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color w:val="000000"/>
          <w:sz w:val="28"/>
          <w:szCs w:val="28"/>
          <w:rtl w:val="0"/>
        </w:rPr>
        <w:t xml:space="preserve"> DE LA INSTITUCIÓN</w:t>
      </w:r>
    </w:p>
    <w:p w:rsidR="00000000" w:rsidDel="00000000" w:rsidP="00000000" w:rsidRDefault="00000000" w:rsidRPr="00000000" w14:paraId="0000001D">
      <w:pPr>
        <w:spacing w:before="240"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La Escuela Superior Politécnica Agropecuaria de Manabí Manuel Félix López (ESPAM MFL), es una universidad pública que se encuentra ubicada en la ciudad de Calceta, Cantón Bolívar, provincia de Manabí. Actualmente ofrece 8 carreras universitarias, entre las cuales 5 son licenciaturas (Administración de Empresas, Administración Pública, Medicina Veterinaria, Turismo, Ciencias Agrícolas.) y 3 ingenierías (Ingeniería Ambiental, Ingeniería en Ciencias de la Computación, Ingeniería Agrícola.) (Universidades del Ecuador, 2020). </w:t>
      </w:r>
      <w:r w:rsidDel="00000000" w:rsidR="00000000" w:rsidRPr="00000000">
        <w:rPr>
          <w:rtl w:val="0"/>
        </w:rPr>
      </w:r>
    </w:p>
    <w:p w:rsidR="00000000" w:rsidDel="00000000" w:rsidP="00000000" w:rsidRDefault="00000000" w:rsidRPr="00000000" w14:paraId="0000001E">
      <w:pPr>
        <w:spacing w:before="240" w:line="360" w:lineRule="auto"/>
        <w:jc w:val="both"/>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La Escuela Superior Politécnica Agropecuaria de Manabí Manuel Félix López (2016), persigue el objetivo de dotar a la provincia y al país de profesionales capacitados para transformar la realidad productiva del entorno.</w:t>
      </w:r>
      <w:r w:rsidDel="00000000" w:rsidR="00000000" w:rsidRPr="00000000">
        <w:rPr>
          <w:rtl w:val="0"/>
        </w:rPr>
      </w:r>
    </w:p>
    <w:p w:rsidR="00000000" w:rsidDel="00000000" w:rsidP="00000000" w:rsidRDefault="00000000" w:rsidRPr="00000000" w14:paraId="0000001F">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parte de la ESPAM MFL, la Unidad de Coordinación General de Investigación cuenta con la misión de “Institucionalizar</w:t>
      </w:r>
      <w:r w:rsidDel="00000000" w:rsidR="00000000" w:rsidRPr="00000000">
        <w:rPr>
          <w:rFonts w:ascii="Arial" w:cs="Arial" w:eastAsia="Arial" w:hAnsi="Arial"/>
          <w:sz w:val="24"/>
          <w:szCs w:val="24"/>
          <w:highlight w:val="white"/>
          <w:rtl w:val="0"/>
        </w:rPr>
        <w:t xml:space="preserve"> y sistematizar la investigación en la ESPAM MFL, de manera interactiva y multidisciplinaria para propiciar la creación, adaptación, generación y transferencia de tecnologías, en la búsqueda de alternativas viables e innovadoras para la solución de problemas prioritarios y productivos de la región y el país”. Así también su visión se basa en “Ser referente en investigación científica como núcleo transformador de la sociedad, con énfasis en el ámbito local, zonal y nacional”. </w:t>
      </w:r>
      <w:r w:rsidDel="00000000" w:rsidR="00000000" w:rsidRPr="00000000">
        <w:rPr>
          <w:rFonts w:ascii="Arial" w:cs="Arial" w:eastAsia="Arial" w:hAnsi="Arial"/>
          <w:sz w:val="24"/>
          <w:szCs w:val="24"/>
          <w:rtl w:val="0"/>
        </w:rPr>
        <w:t xml:space="preserve">Por lo tanto, tiene atribuciones en elaborar y presentar proyectos de investigación generativa con alianzas estratégicas en convocatorias internas y externa, participar en eventos científicos nacionales e internacionales, publicar artículos en revistas indexadas, entre otros (ESPAM MFL, 2020).</w:t>
      </w:r>
    </w:p>
    <w:p w:rsidR="00000000" w:rsidDel="00000000" w:rsidP="00000000" w:rsidRDefault="00000000" w:rsidRPr="00000000" w14:paraId="00000020">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Apoyados por la </w:t>
      </w:r>
      <w:r w:rsidDel="00000000" w:rsidR="00000000" w:rsidRPr="00000000">
        <w:rPr>
          <w:rFonts w:ascii="Arial" w:cs="Arial" w:eastAsia="Arial" w:hAnsi="Arial"/>
          <w:sz w:val="24"/>
          <w:szCs w:val="24"/>
          <w:rtl w:val="0"/>
        </w:rPr>
        <w:t xml:space="preserve">Unidad de Coordinación General de Investigación los autores hacen la propuesta de desarrollar un sistema web para gestionar el desarrollo de los procesos de la Editorial Humus. El mismo que debe permitir realizar diversas acciones, tales como: gestión de usuarios y personal administrativo, publicar libros y capítulos de libros, entre otras. </w:t>
      </w:r>
    </w:p>
    <w:p w:rsidR="00000000" w:rsidDel="00000000" w:rsidP="00000000" w:rsidRDefault="00000000" w:rsidRPr="00000000" w14:paraId="00000021">
      <w:pPr>
        <w:spacing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I.2. DESCRIPCIÓN DE LA INTERVENCIÓN</w:t>
      </w:r>
    </w:p>
    <w:p w:rsidR="00000000" w:rsidDel="00000000" w:rsidP="00000000" w:rsidRDefault="00000000" w:rsidRPr="00000000" w14:paraId="00000023">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avances tecnológicos en la actualidad están creciendo día a día con gran rapidez y con ello varios ámbitos de la sociedad han ido avanzando y consecuentemente adaptándose al cambio. El auge de internet, las redes sociales, el Big Data, la inteligencia artificial, y en general las tecnologías y la digitalización han provocado un impacto abismal (Terrón, 2019). </w:t>
      </w:r>
    </w:p>
    <w:p w:rsidR="00000000" w:rsidDel="00000000" w:rsidP="00000000" w:rsidRDefault="00000000" w:rsidRPr="00000000" w14:paraId="0000002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nuevas tecnologías han ocasionado grandes innovaciones en diversas áreas, entendiendo así que la innovación hace referencia a "un cambio que da origen a algo nuevo, muy útil para las personas o para el medio ambiente que refleja un resultado de una cadena de pensamientos inteligentes que dan origen a un beneficio perdurable y requerido" (Haro, Cordova, &amp; Alvarado, 2017).</w:t>
      </w:r>
    </w:p>
    <w:p w:rsidR="00000000" w:rsidDel="00000000" w:rsidP="00000000" w:rsidRDefault="00000000" w:rsidRPr="00000000" w14:paraId="00000025">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Compartiendo la idea de la importancia que prevé el empleo de las nuevas tecnologías y lo eficaz que resultan en la solución de problemáticas planteadas ante la falta de innovación en algunas organizaciones y procesos que se llevan a cabo en estas. Como parte de una necesidad requerida por la Editorial Humus en la ESPAM MFL se plantea crear un sistema web que permita gestionar el desarrollo de los procesos editoriales de esta organización.</w:t>
      </w:r>
    </w:p>
    <w:p w:rsidR="00000000" w:rsidDel="00000000" w:rsidP="00000000" w:rsidRDefault="00000000" w:rsidRPr="00000000" w14:paraId="00000026">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tendrá como objetivo principal llevar a cabo cada uno de los procesos de manera digital, mejorando la administración de las etapas que involucran la publicación de libros, a la vez que permitirá a los autores mantenerse en contacto con la Editorial y conocer aspectos relevantes sobre su libro y las etapas en que se encuentre a medida que avance el desarrollo de la publicación.</w:t>
      </w:r>
    </w:p>
    <w:p w:rsidR="00000000" w:rsidDel="00000000" w:rsidP="00000000" w:rsidRDefault="00000000" w:rsidRPr="00000000" w14:paraId="00000027">
      <w:pPr>
        <w:spacing w:before="240"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8">
      <w:pPr>
        <w:spacing w:before="240"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9">
      <w:pPr>
        <w:spacing w:before="240"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A">
      <w:pPr>
        <w:spacing w:before="240"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B">
      <w:pPr>
        <w:spacing w:before="240"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before="240" w:line="360" w:lineRule="auto"/>
        <w:jc w:val="center"/>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BIBLIOGRAFÍA</w:t>
      </w:r>
      <w:r w:rsidDel="00000000" w:rsidR="00000000" w:rsidRPr="00000000">
        <w:rPr>
          <w:rtl w:val="0"/>
        </w:rPr>
      </w:r>
    </w:p>
    <w:p w:rsidR="00000000" w:rsidDel="00000000" w:rsidP="00000000" w:rsidRDefault="00000000" w:rsidRPr="00000000" w14:paraId="0000002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Escuela Superior Politécnica Agropecuaria de Manabí Manuel Félix López. (2016). </w:t>
      </w:r>
      <w:r w:rsidDel="00000000" w:rsidR="00000000" w:rsidRPr="00000000">
        <w:rPr>
          <w:rFonts w:ascii="Arial" w:cs="Arial" w:eastAsia="Arial" w:hAnsi="Arial"/>
          <w:i w:val="1"/>
          <w:sz w:val="24"/>
          <w:szCs w:val="24"/>
          <w:rtl w:val="0"/>
        </w:rPr>
        <w:t xml:space="preserve">MODELO EDUCATIVO</w:t>
      </w:r>
      <w:r w:rsidDel="00000000" w:rsidR="00000000" w:rsidRPr="00000000">
        <w:rPr>
          <w:rFonts w:ascii="Arial" w:cs="Arial" w:eastAsia="Arial" w:hAnsi="Arial"/>
          <w:sz w:val="24"/>
          <w:szCs w:val="24"/>
          <w:rtl w:val="0"/>
        </w:rPr>
        <w:t xml:space="preserve">. Retrieved from http://www.espam.edu.ec/recursos/sitio/espam/ModeloEducativo2016.pdf</w:t>
      </w:r>
    </w:p>
    <w:p w:rsidR="00000000" w:rsidDel="00000000" w:rsidP="00000000" w:rsidRDefault="00000000" w:rsidRPr="00000000" w14:paraId="0000002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ESPAM MFL. (2020). Retrieved October 27, 2021, from http://www.espam.edu.ec/web/unidades/investigacion.aspx</w:t>
      </w:r>
    </w:p>
    <w:p w:rsidR="00000000" w:rsidDel="00000000" w:rsidP="00000000" w:rsidRDefault="00000000" w:rsidRPr="00000000" w14:paraId="0000003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Haro, F., Cordova, N., &amp; Alvarado, M. (2017). Importancia de la innovación y su ejecución en la estrategia empresarial. </w:t>
      </w:r>
      <w:r w:rsidDel="00000000" w:rsidR="00000000" w:rsidRPr="00000000">
        <w:rPr>
          <w:rFonts w:ascii="Arial" w:cs="Arial" w:eastAsia="Arial" w:hAnsi="Arial"/>
          <w:i w:val="1"/>
          <w:sz w:val="24"/>
          <w:szCs w:val="24"/>
          <w:rtl w:val="0"/>
        </w:rPr>
        <w:t xml:space="preserve">INNOVA Research Journal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w:t>
      </w:r>
      <w:r w:rsidDel="00000000" w:rsidR="00000000" w:rsidRPr="00000000">
        <w:rPr>
          <w:rFonts w:ascii="Arial" w:cs="Arial" w:eastAsia="Arial" w:hAnsi="Arial"/>
          <w:sz w:val="24"/>
          <w:szCs w:val="24"/>
          <w:rtl w:val="0"/>
        </w:rPr>
        <w:t xml:space="preserve">(5), 88–105. https://doi.org/10.33890/innova.v2.n5.2017.167</w:t>
      </w:r>
    </w:p>
    <w:p w:rsidR="00000000" w:rsidDel="00000000" w:rsidP="00000000" w:rsidRDefault="00000000" w:rsidRPr="00000000" w14:paraId="0000003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Terrón, P. (2019). </w:t>
      </w:r>
      <w:r w:rsidDel="00000000" w:rsidR="00000000" w:rsidRPr="00000000">
        <w:rPr>
          <w:rFonts w:ascii="Arial" w:cs="Arial" w:eastAsia="Arial" w:hAnsi="Arial"/>
          <w:i w:val="1"/>
          <w:sz w:val="24"/>
          <w:szCs w:val="24"/>
          <w:rtl w:val="0"/>
        </w:rPr>
        <w:t xml:space="preserve">Digitalización, De Opción a Obligación</w:t>
      </w:r>
      <w:r w:rsidDel="00000000" w:rsidR="00000000" w:rsidRPr="00000000">
        <w:rPr>
          <w:rFonts w:ascii="Arial" w:cs="Arial" w:eastAsia="Arial" w:hAnsi="Arial"/>
          <w:sz w:val="24"/>
          <w:szCs w:val="24"/>
          <w:rtl w:val="0"/>
        </w:rPr>
        <w:t xml:space="preserve">. 13–17. Retrieved from https://search.proquest.com/openview/cc07db67c09fd4e2edfa6c89b9eef106/1?pq-origsite=gscholar&amp;cbl=2032638</w:t>
      </w:r>
    </w:p>
    <w:p w:rsidR="00000000" w:rsidDel="00000000" w:rsidP="00000000" w:rsidRDefault="00000000" w:rsidRPr="00000000" w14:paraId="0000003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Universidades del ecuador. (2020). escuela-superior-politecnica-agropecuaria-de-manabi @ www.universidades.com.ec. https://www.universidades.com.ec/escuela-superior-politecnica-agropecuaria-de-manabi</w:t>
      </w:r>
    </w:p>
    <w:p w:rsidR="00000000" w:rsidDel="00000000" w:rsidP="00000000" w:rsidRDefault="00000000" w:rsidRPr="00000000" w14:paraId="00000033">
      <w:pPr>
        <w:spacing w:after="240" w:before="240" w:line="360" w:lineRule="auto"/>
        <w:ind w:left="960" w:hanging="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240" w:before="240" w:line="276" w:lineRule="auto"/>
        <w:ind w:left="960" w:hanging="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ind w:left="960" w:hanging="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ind w:left="960" w:hanging="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ind w:left="960" w:hanging="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sectPr>
      <w:pgSz w:h="16838" w:w="11906" w:orient="portrait"/>
      <w:pgMar w:bottom="1134" w:top="1418" w:left="1701"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