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D7377"/>
          <w:sz w:val="64"/>
          <w:szCs w:val="64"/>
        </w:rPr>
        <w:t xml:space="preserve">GEMA MX</w:t>
      </w:r>
    </w:p>
    <w:p>
      <w:pPr>
        <w:spacing w:before="0" w:after="120"/>
        <w:jc w:val="center"/>
      </w:pPr>
      <w:r>
        <w:rPr>
          <w:rFonts w:ascii="Arial" w:cs="Arial" w:eastAsia="Arial" w:hAnsi="Arial"/>
          <w:i/>
          <w:iCs/>
          <w:color w:val="64748B"/>
          <w:sz w:val="28"/>
          <w:szCs w:val="28"/>
        </w:rPr>
        <w:t xml:space="preserve">Genomic Analysis of Mammary cancer in Mexico</w:t>
      </w:r>
    </w:p>
    <w:p>
      <w:pPr>
        <w:pBdr>
          <w:bottom w:val="single" w:color="0D7377" w:sz="4" w:space="1"/>
        </w:pBdr>
        <w:spacing w:before="120" w:after="120"/>
      </w:pPr>
    </w:p>
    <w:p>
      <w:pPr>
        <w:spacing w:before="240" w:after="80"/>
        <w:jc w:val="center"/>
      </w:pPr>
      <w:r>
        <w:rPr>
          <w:rFonts w:ascii="Arial" w:cs="Arial" w:eastAsia="Arial" w:hAnsi="Arial"/>
          <w:b/>
          <w:bCs/>
          <w:color w:val="141418"/>
          <w:sz w:val="32"/>
          <w:szCs w:val="32"/>
        </w:rPr>
        <w:t xml:space="preserve">Reporte de Arquitectura e Implementación del Pipeline</w:t>
      </w:r>
    </w:p>
    <w:p>
      <w:pPr>
        <w:spacing w:before="80" w:after="600"/>
        <w:jc w:val="center"/>
      </w:pPr>
      <w:r>
        <w:rPr>
          <w:rFonts w:ascii="Arial" w:cs="Arial" w:eastAsia="Arial" w:hAnsi="Arial"/>
          <w:color w:val="64748B"/>
          <w:sz w:val="22"/>
          <w:szCs w:val="22"/>
        </w:rPr>
        <w:t xml:space="preserve">Pipeline de Oncología de Precisión · TCGA-BRCA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r>
              <w:rPr>
                <w:rFonts w:ascii="Arial" w:cs="Arial" w:eastAsia="Arial" w:hAnsi="Arial"/>
                <w:b/>
                <w:bCs/>
                <w:color w:val="FFFFFF"/>
                <w:sz w:val="20"/>
                <w:szCs w:val="20"/>
              </w:rPr>
              <w:t xml:space="preserve">Líder del Proyecto</w:t>
            </w:r>
          </w:p>
        </w:tc>
        <w:tc>
          <w:tcPr>
            <w:tcW w:type="dxa" w:w="6240"/>
            <w:tcBorders>
              <w:top w:val="none" w:color="FFFFFF" w:sz="0"/>
              <w:left w:val="none" w:color="FFFFFF" w:sz="0"/>
              <w:bottom w:val="none" w:color="FFFFFF" w:sz="0"/>
              <w:right w:val="none" w:color="FFFFFF" w:sz="0"/>
            </w:tcBorders>
            <w:shd w:fill="F0FAFA" w:val="clear"/>
            <w:tcMar>
              <w:top w:type="dxa" w:w="100"/>
              <w:left w:type="dxa" w:w="160"/>
              <w:bottom w:type="dxa" w:w="100"/>
              <w:right w:type="dxa" w:w="160"/>
            </w:tcMar>
          </w:tcPr>
          <w:p>
            <w:r>
              <w:rPr>
                <w:rFonts w:ascii="Arial" w:cs="Arial" w:eastAsia="Arial" w:hAnsi="Arial"/>
                <w:color w:val="1e293b"/>
                <w:sz w:val="20"/>
                <w:szCs w:val="20"/>
              </w:rPr>
              <w:t xml:space="preserve">Ing. Ximena Gutiérrez Gálvez</w:t>
            </w:r>
          </w:p>
        </w:tc>
      </w:tr>
      <w:tr>
        <w:tc>
          <w:tcPr>
            <w:tcW w:type="dxa" w:w="312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r>
              <w:rPr>
                <w:rFonts w:ascii="Arial" w:cs="Arial" w:eastAsia="Arial" w:hAnsi="Arial"/>
                <w:b/>
                <w:bCs/>
                <w:color w:val="FFFFFF"/>
                <w:sz w:val="20"/>
                <w:szCs w:val="20"/>
              </w:rPr>
              <w:t xml:space="preserve">Asesores</w:t>
            </w:r>
          </w:p>
        </w:tc>
        <w:tc>
          <w:tcPr>
            <w:tcW w:type="dxa" w:w="6240"/>
            <w:tcBorders>
              <w:top w:val="none" w:color="FFFFFF" w:sz="0"/>
              <w:left w:val="none" w:color="FFFFFF" w:sz="0"/>
              <w:bottom w:val="none" w:color="FFFFFF" w:sz="0"/>
              <w:right w:val="none" w:color="FFFFFF" w:sz="0"/>
            </w:tcBorders>
            <w:shd w:fill="F0FAFA" w:val="clear"/>
            <w:tcMar>
              <w:top w:type="dxa" w:w="100"/>
              <w:left w:type="dxa" w:w="160"/>
              <w:bottom w:type="dxa" w:w="100"/>
              <w:right w:type="dxa" w:w="160"/>
            </w:tcMar>
          </w:tcPr>
          <w:p>
            <w:r>
              <w:rPr>
                <w:rFonts w:ascii="Arial" w:cs="Arial" w:eastAsia="Arial" w:hAnsi="Arial"/>
                <w:color w:val="1e293b"/>
                <w:sz w:val="20"/>
                <w:szCs w:val="20"/>
              </w:rPr>
              <w:t xml:space="preserve">Dr. Julio Waissman Vilanova</w:t>
            </w:r>
          </w:p>
          <w:p>
            <w:r>
              <w:rPr>
                <w:rFonts w:ascii="Arial" w:cs="Arial" w:eastAsia="Arial" w:hAnsi="Arial"/>
                <w:color w:val="1e293b"/>
                <w:sz w:val="20"/>
                <w:szCs w:val="20"/>
              </w:rPr>
              <w:t xml:space="preserve">Mtro. Héctor Gutiérrez Ibarra</w:t>
            </w:r>
          </w:p>
        </w:tc>
      </w:tr>
      <w:tr>
        <w:tc>
          <w:tcPr>
            <w:tcW w:type="dxa" w:w="312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r>
              <w:rPr>
                <w:rFonts w:ascii="Arial" w:cs="Arial" w:eastAsia="Arial" w:hAnsi="Arial"/>
                <w:b/>
                <w:bCs/>
                <w:color w:val="FFFFFF"/>
                <w:sz w:val="20"/>
                <w:szCs w:val="20"/>
              </w:rPr>
              <w:t xml:space="preserve">Institución</w:t>
            </w:r>
          </w:p>
        </w:tc>
        <w:tc>
          <w:tcPr>
            <w:tcW w:type="dxa" w:w="6240"/>
            <w:tcBorders>
              <w:top w:val="none" w:color="FFFFFF" w:sz="0"/>
              <w:left w:val="none" w:color="FFFFFF" w:sz="0"/>
              <w:bottom w:val="none" w:color="FFFFFF" w:sz="0"/>
              <w:right w:val="none" w:color="FFFFFF" w:sz="0"/>
            </w:tcBorders>
            <w:shd w:fill="F0FAFA" w:val="clear"/>
            <w:tcMar>
              <w:top w:type="dxa" w:w="100"/>
              <w:left w:type="dxa" w:w="160"/>
              <w:bottom w:type="dxa" w:w="100"/>
              <w:right w:type="dxa" w:w="160"/>
            </w:tcMar>
          </w:tcPr>
          <w:p>
            <w:r>
              <w:rPr>
                <w:rFonts w:ascii="Arial" w:cs="Arial" w:eastAsia="Arial" w:hAnsi="Arial"/>
                <w:color w:val="1e293b"/>
                <w:sz w:val="20"/>
                <w:szCs w:val="20"/>
              </w:rPr>
              <w:t xml:space="preserve">Universidad de Sonora (UNISON)</w:t>
            </w:r>
          </w:p>
        </w:tc>
      </w:tr>
      <w:tr>
        <w:tc>
          <w:tcPr>
            <w:tcW w:type="dxa" w:w="3120"/>
            <w:tcBorders>
              <w:top w:val="none" w:color="FFFFFF" w:sz="0"/>
              <w:left w:val="none" w:color="FFFFFF" w:sz="0"/>
              <w:bottom w:val="none" w:color="FFFFFF" w:sz="0"/>
              <w:right w:val="none" w:color="FFFFFF" w:sz="0"/>
            </w:tcBorders>
            <w:shd w:fill="0D7377" w:val="clear"/>
            <w:tcMar>
              <w:top w:type="dxa" w:w="100"/>
              <w:left w:type="dxa" w:w="160"/>
              <w:bottom w:type="dxa" w:w="100"/>
              <w:right w:type="dxa" w:w="160"/>
            </w:tcMar>
          </w:tcPr>
          <w:p>
            <w:r>
              <w:rPr>
                <w:rFonts w:ascii="Arial" w:cs="Arial" w:eastAsia="Arial" w:hAnsi="Arial"/>
                <w:b/>
                <w:bCs/>
                <w:color w:val="FFFFFF"/>
                <w:sz w:val="20"/>
                <w:szCs w:val="20"/>
              </w:rPr>
              <w:t xml:space="preserve">Fecha</w:t>
            </w:r>
          </w:p>
        </w:tc>
        <w:tc>
          <w:tcPr>
            <w:tcW w:type="dxa" w:w="6240"/>
            <w:tcBorders>
              <w:top w:val="none" w:color="FFFFFF" w:sz="0"/>
              <w:left w:val="none" w:color="FFFFFF" w:sz="0"/>
              <w:bottom w:val="none" w:color="FFFFFF" w:sz="0"/>
              <w:right w:val="none" w:color="FFFFFF" w:sz="0"/>
            </w:tcBorders>
            <w:shd w:fill="F0FAFA" w:val="clear"/>
            <w:tcMar>
              <w:top w:type="dxa" w:w="100"/>
              <w:left w:type="dxa" w:w="160"/>
              <w:bottom w:type="dxa" w:w="100"/>
              <w:right w:type="dxa" w:w="160"/>
            </w:tcMar>
          </w:tcPr>
          <w:p>
            <w:r>
              <w:rPr>
                <w:rFonts w:ascii="Arial" w:cs="Arial" w:eastAsia="Arial" w:hAnsi="Arial"/>
                <w:color w:val="1e293b"/>
                <w:sz w:val="20"/>
                <w:szCs w:val="20"/>
              </w:rPr>
              <w:t xml:space="preserve">Marzo 2026</w:t>
            </w:r>
          </w:p>
        </w:tc>
      </w:tr>
    </w:tbl>
    <w:p>
      <w:r>
        <w:br w:type="page"/>
      </w:r>
    </w:p>
    <w:p>
      <w:pPr>
        <w:pStyle w:val="Heading1"/>
        <w:spacing w:before="360" w:after="120"/>
      </w:pPr>
      <w:r>
        <w:rPr>
          <w:rFonts w:ascii="Arial" w:cs="Arial" w:eastAsia="Arial" w:hAnsi="Arial"/>
          <w:b/>
          <w:bCs/>
          <w:color w:val="0D7377"/>
          <w:sz w:val="32"/>
          <w:szCs w:val="32"/>
        </w:rPr>
        <w:t xml:space="preserve">1. Resumen Ejecutivo</w:t>
      </w:r>
    </w:p>
    <w:p>
      <w:pPr>
        <w:spacing w:before="60" w:after="80"/>
      </w:pPr>
      <w:r>
        <w:rPr>
          <w:rFonts w:ascii="Arial" w:cs="Arial" w:eastAsia="Arial" w:hAnsi="Arial"/>
          <w:color w:val="1e293b"/>
          <w:sz w:val="22"/>
          <w:szCs w:val="22"/>
        </w:rPr>
        <w:t xml:space="preserve">GEMA MX (Genomic Analysis of Mammary cancer in Mexico) es un pipeline de oncología de precisión que integra ingesta automatizada de datos genómicos, predicción estructural de proteínas con inteligencia artificial y simulación de docking molecular. Su objetivo es reclasificar variantes genéticas de Significado Incierto (VUS) en cáncer de mama, identificando candidatos farmacológicos para repositionamiento terapéutico.</w:t>
      </w:r>
    </w:p>
    <w:p>
      <w:pPr>
        <w:spacing w:before="60" w:after="80"/>
      </w:pPr>
      <w:r>
        <w:rPr>
          <w:rFonts w:ascii="Arial" w:cs="Arial" w:eastAsia="Arial" w:hAnsi="Arial"/>
          <w:color w:val="1e293b"/>
          <w:sz w:val="22"/>
          <w:szCs w:val="22"/>
        </w:rPr>
        <w:t xml:space="preserve">El pipeline procesa 1,084 casos de cáncer de mama del proyecto TCGA-BRCA, prioriza variantes missense en 15 genes clave, predice estructuras 3D de proteínas mutadas con Boltz-1/ESMFold, y ejecuta simulaciones de docking molecular con 11 fármacos usando AutoDock Vina 1.2.3. Los resultados se visualizan en una aplicación web estática con visualizador molecular 3D integrado (PDBe Molstar).</w:t>
      </w:r>
    </w:p>
    <w:p/>
    <w:p>
      <w:pPr>
        <w:pStyle w:val="Heading1"/>
        <w:spacing w:before="360" w:after="120"/>
      </w:pPr>
      <w:r>
        <w:rPr>
          <w:rFonts w:ascii="Arial" w:cs="Arial" w:eastAsia="Arial" w:hAnsi="Arial"/>
          <w:b/>
          <w:bCs/>
          <w:color w:val="0D7377"/>
          <w:sz w:val="32"/>
          <w:szCs w:val="32"/>
        </w:rPr>
        <w:t xml:space="preserve">2. Arquitectura General del Sistema</w:t>
      </w:r>
    </w:p>
    <w:p>
      <w:pPr>
        <w:pStyle w:val="Heading2"/>
        <w:spacing w:before="280" w:after="80"/>
      </w:pPr>
      <w:r>
        <w:rPr>
          <w:rFonts w:ascii="Arial" w:cs="Arial" w:eastAsia="Arial" w:hAnsi="Arial"/>
          <w:b/>
          <w:bCs/>
          <w:color w:val="141418"/>
          <w:sz w:val="26"/>
          <w:szCs w:val="26"/>
        </w:rPr>
        <w:t xml:space="preserve">2.1 Diagrama de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6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Salida</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M1 — Ingesta</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Python · cBioPortal API / GDC API · MongoDB · Pandas</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raw_mutations.json
top_variants.json
mutation_stats.json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M2 — FASTA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UniProt REST API · Biopython · MutableSeq</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data/fasta/{gen}_WT.fasta
data/fasta/{gen}_{cambio}.fasta</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M3 — Estructuras 3D</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Boltz-1 (Colab T4 GPU)
ESMFold API
OpenBabel 3.1.1</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data/structures/boltz_results_*/
predictions/*.cif
data/structures/*.pdb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M4 — Docking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AutoDock Vina 1.2.3
RDKit · Meeko · ChEMBL API
OpenBabel (receptor PDBQT)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data/docking/vina_affinities.json
data/docking/results/*.pdbqt
structural_metrics.json</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M5 — Web App</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HTML5 · CSS3 · JS Vanilla
Plotly.js · PDBe Molstar v3.2
Antigravity (framework)</w:t>
            </w:r>
          </w:p>
        </w:tc>
        <w:tc>
          <w:tcPr>
            <w:tcW w:type="dxa" w:w="368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index.html
dashboard.js · app.js
analysis.js · structural.js
docking.js · report.js</w:t>
            </w:r>
          </w:p>
        </w:tc>
      </w:tr>
    </w:tbl>
    <w:p/>
    <w:p>
      <w:pPr>
        <w:pStyle w:val="Heading2"/>
        <w:spacing w:before="280" w:after="80"/>
      </w:pPr>
      <w:r>
        <w:rPr>
          <w:rFonts w:ascii="Arial" w:cs="Arial" w:eastAsia="Arial" w:hAnsi="Arial"/>
          <w:b/>
          <w:bCs/>
          <w:color w:val="141418"/>
          <w:sz w:val="26"/>
          <w:szCs w:val="26"/>
        </w:rPr>
        <w:t xml:space="preserve">2.2 Flujo de Datos</w:t>
      </w:r>
    </w:p>
    <w:p>
      <w:pPr>
        <w:spacing w:before="60" w:after="80"/>
      </w:pPr>
      <w:r>
        <w:rPr>
          <w:rFonts w:ascii="Arial" w:cs="Arial" w:eastAsia="Arial" w:hAnsi="Arial"/>
          <w:color w:val="1e293b"/>
          <w:sz w:val="22"/>
          <w:szCs w:val="22"/>
        </w:rPr>
        <w:t xml:space="preserve">El flujo es completamente lineal y unidireccional. Cada módulo consume los archivos JSON producidos por el anterior:</w:t>
      </w:r>
    </w:p>
    <w:p>
      <w:pPr>
        <w:pStyle w:val="ListParagraph"/>
        <w:numPr>
          <w:ilvl w:val="0"/>
          <w:numId w:val="2"/>
        </w:numPr>
        <w:spacing w:before="40" w:after="40"/>
      </w:pPr>
      <w:r>
        <w:rPr>
          <w:rFonts w:ascii="Arial" w:cs="Arial" w:eastAsia="Arial" w:hAnsi="Arial"/>
          <w:color w:val="1e293b"/>
          <w:sz w:val="22"/>
          <w:szCs w:val="22"/>
        </w:rPr>
        <w:t xml:space="preserve">cBioPortal API → ingest_data.py → raw_mutations.json + top_variants.json</w:t>
      </w:r>
    </w:p>
    <w:p>
      <w:pPr>
        <w:pStyle w:val="ListParagraph"/>
        <w:numPr>
          <w:ilvl w:val="0"/>
          <w:numId w:val="2"/>
        </w:numPr>
        <w:spacing w:before="40" w:after="40"/>
      </w:pPr>
      <w:r>
        <w:rPr>
          <w:rFonts w:ascii="Arial" w:cs="Arial" w:eastAsia="Arial" w:hAnsi="Arial"/>
          <w:color w:val="1e293b"/>
          <w:sz w:val="22"/>
          <w:szCs w:val="22"/>
        </w:rPr>
        <w:t xml:space="preserve">top_variants.json → fetch_fasta.py → data/fasta/*.fasta</w:t>
      </w:r>
    </w:p>
    <w:p>
      <w:pPr>
        <w:pStyle w:val="ListParagraph"/>
        <w:numPr>
          <w:ilvl w:val="0"/>
          <w:numId w:val="2"/>
        </w:numPr>
        <w:spacing w:before="40" w:after="40"/>
      </w:pPr>
      <w:r>
        <w:rPr>
          <w:rFonts w:ascii="Arial" w:cs="Arial" w:eastAsia="Arial" w:hAnsi="Arial"/>
          <w:color w:val="1e293b"/>
          <w:sz w:val="22"/>
          <w:szCs w:val="22"/>
        </w:rPr>
        <w:t xml:space="preserve">data/fasta/*.fasta → generate_structures.py → data/structures/*.pdb/.cif</w:t>
      </w:r>
    </w:p>
    <w:p>
      <w:pPr>
        <w:pStyle w:val="ListParagraph"/>
        <w:numPr>
          <w:ilvl w:val="0"/>
          <w:numId w:val="2"/>
        </w:numPr>
        <w:spacing w:before="40" w:after="40"/>
      </w:pPr>
      <w:r>
        <w:rPr>
          <w:rFonts w:ascii="Arial" w:cs="Arial" w:eastAsia="Arial" w:hAnsi="Arial"/>
          <w:color w:val="1e293b"/>
          <w:sz w:val="22"/>
          <w:szCs w:val="22"/>
        </w:rPr>
        <w:t xml:space="preserve">data/structures/ → prepare_docking.py + run_docking.py → vina_affinities.json</w:t>
      </w:r>
    </w:p>
    <w:p>
      <w:pPr>
        <w:pStyle w:val="ListParagraph"/>
        <w:numPr>
          <w:ilvl w:val="0"/>
          <w:numId w:val="2"/>
        </w:numPr>
        <w:spacing w:before="40" w:after="40"/>
      </w:pPr>
      <w:r>
        <w:rPr>
          <w:rFonts w:ascii="Arial" w:cs="Arial" w:eastAsia="Arial" w:hAnsi="Arial"/>
          <w:color w:val="1e293b"/>
          <w:sz w:val="22"/>
          <w:szCs w:val="22"/>
        </w:rPr>
        <w:t xml:space="preserve">Todos los JSON → app web estática → visualización en navegador</w:t>
      </w:r>
    </w:p>
    <w:p/>
    <w:p>
      <w:pPr>
        <w:pStyle w:val="Heading2"/>
        <w:spacing w:before="280" w:after="80"/>
      </w:pPr>
      <w:r>
        <w:rPr>
          <w:rFonts w:ascii="Arial" w:cs="Arial" w:eastAsia="Arial" w:hAnsi="Arial"/>
          <w:b/>
          <w:bCs/>
          <w:color w:val="141418"/>
          <w:sz w:val="26"/>
          <w:szCs w:val="26"/>
        </w:rPr>
        <w:t xml:space="preserve">2.3 Base de Datos — MongoDB</w:t>
      </w:r>
    </w:p>
    <w:p>
      <w:pPr>
        <w:spacing w:before="60" w:after="80"/>
      </w:pPr>
      <w:r>
        <w:rPr>
          <w:rFonts w:ascii="Arial" w:cs="Arial" w:eastAsia="Arial" w:hAnsi="Arial"/>
          <w:color w:val="1e293b"/>
          <w:sz w:val="22"/>
          <w:szCs w:val="22"/>
        </w:rPr>
        <w:t xml:space="preserve">MongoDB se utiliza exclusivamente durante la fase de ingesta y procesamiento (M1). Corre localmente en localhost:27017 y almacena tres colecciones: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Colección</w:t>
            </w:r>
          </w:p>
        </w:tc>
        <w:tc>
          <w:tcPr>
            <w:tcW w:type="dxa" w:w="6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mutations</w:t>
            </w:r>
          </w:p>
        </w:tc>
        <w:tc>
          <w:tcPr>
            <w:tcW w:type="dxa" w:w="6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Todas las mutaciones missense filtradas de los 15 genes clave. Campos: hugo_symbol, protein_change, variant_classification, sample_id, chromosome, start_position.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top_variants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Ranking Top-20 variantes por frecuencia. Agrega: frequency, cohort_percentage, classification, rank.</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fasta_sequences</w:t>
            </w:r>
          </w:p>
        </w:tc>
        <w:tc>
          <w:tcPr>
            <w:tcW w:type="dxa" w:w="6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Secuencias WT y mutadas por variante, con su uniprot_id, mutation_pos y ambas cadenas de aminoácidos.</w:t>
            </w:r>
          </w:p>
        </w:tc>
      </w:tr>
    </w:tbl>
    <w:p>
      <w:pPr>
        <w:spacing w:before="60" w:after="80"/>
      </w:pPr>
      <w:r>
        <w:rPr>
          <w:rFonts w:ascii="Arial" w:cs="Arial" w:eastAsia="Arial" w:hAnsi="Arial"/>
          <w:i/>
          <w:iCs/>
          <w:color w:val="64748B"/>
          <w:sz w:val="22"/>
          <w:szCs w:val="22"/>
        </w:rPr>
        <w:t xml:space="preserve">Importante: MongoDB no se usa en tiempo de ejecución de la app web. Es un almacén intermedio de la fase científica. La app consume únicamente archivos JSON estáticos.</w:t>
      </w:r>
    </w:p>
    <w:p/>
    <w:p>
      <w:r>
        <w:br w:type="page"/>
      </w:r>
    </w:p>
    <w:p>
      <w:pPr>
        <w:pStyle w:val="Heading1"/>
        <w:spacing w:before="360" w:after="120"/>
      </w:pPr>
      <w:r>
        <w:rPr>
          <w:rFonts w:ascii="Arial" w:cs="Arial" w:eastAsia="Arial" w:hAnsi="Arial"/>
          <w:b/>
          <w:bCs/>
          <w:color w:val="0D7377"/>
          <w:sz w:val="32"/>
          <w:szCs w:val="32"/>
        </w:rPr>
        <w:t xml:space="preserve">3. Módulo M1 — Ingesta y Priorización de Variantes</w:t>
      </w:r>
    </w:p>
    <w:p>
      <w:pPr>
        <w:pStyle w:val="Heading2"/>
        <w:spacing w:before="280" w:after="80"/>
      </w:pPr>
      <w:r>
        <w:rPr>
          <w:rFonts w:ascii="Arial" w:cs="Arial" w:eastAsia="Arial" w:hAnsi="Arial"/>
          <w:b/>
          <w:bCs/>
          <w:color w:val="141418"/>
          <w:sz w:val="26"/>
          <w:szCs w:val="26"/>
        </w:rPr>
        <w:t xml:space="preserve">3.1 Fuente de Datos</w:t>
      </w:r>
    </w:p>
    <w:p>
      <w:pPr>
        <w:spacing w:before="60" w:after="80"/>
      </w:pPr>
      <w:r>
        <w:rPr>
          <w:rFonts w:ascii="Arial" w:cs="Arial" w:eastAsia="Arial" w:hAnsi="Arial"/>
          <w:color w:val="1e293b"/>
          <w:sz w:val="22"/>
          <w:szCs w:val="22"/>
        </w:rPr>
        <w:t xml:space="preserve">El pipeline utiliza la API de cBioPortal (www.cbioportal.org/api), que expone datos del proyecto TCGA-BRCA estandarizados. El estudio utilizado es brca_tcga con perfil molecular brca_tcga_mutations.</w:t>
      </w:r>
    </w:p>
    <w:p>
      <w:pPr>
        <w:spacing w:before="60" w:after="80"/>
      </w:pPr>
      <w:r>
        <w:rPr>
          <w:rFonts w:ascii="Arial" w:cs="Arial" w:eastAsia="Arial" w:hAnsi="Arial"/>
          <w:color w:val="1e293b"/>
          <w:sz w:val="22"/>
          <w:szCs w:val="22"/>
        </w:rPr>
        <w:t xml:space="preserve">En paralelo, el notebook de Jupyter también referencia la API directa del GDC (Genomic Data Commons del NCI/NIH) mediante el endpoint https://api.gdc.cancer.gov/ssm_occurrences para descarga con filtros JSON complejos.</w:t>
      </w:r>
    </w:p>
    <w:p>
      <w:pPr>
        <w:pStyle w:val="Heading2"/>
        <w:spacing w:before="280" w:after="80"/>
      </w:pPr>
      <w:r>
        <w:rPr>
          <w:rFonts w:ascii="Arial" w:cs="Arial" w:eastAsia="Arial" w:hAnsi="Arial"/>
          <w:b/>
          <w:bCs/>
          <w:color w:val="141418"/>
          <w:sz w:val="26"/>
          <w:szCs w:val="26"/>
        </w:rPr>
        <w:t xml:space="preserve">3.2 Genes Priorizados</w:t>
      </w:r>
    </w:p>
    <w:p>
      <w:pPr>
        <w:spacing w:before="60" w:after="80"/>
      </w:pPr>
      <w:r>
        <w:rPr>
          <w:rFonts w:ascii="Arial" w:cs="Arial" w:eastAsia="Arial" w:hAnsi="Arial"/>
          <w:color w:val="1e293b"/>
          <w:sz w:val="22"/>
          <w:szCs w:val="22"/>
        </w:rPr>
        <w:t xml:space="preserve">El pipeline filtra 15 genes de interés clínico divididos en tres niveles de relevancia: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Genes</w:t>
            </w:r>
          </w:p>
        </w:tc>
        <w:tc>
          <w:tcPr>
            <w:tcW w:type="dxa" w:w="3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Criterio</w:t>
            </w:r>
          </w:p>
        </w:tc>
      </w:tr>
      <w:tr>
        <w:tc>
          <w:tcPr>
            <w:tcW w:type="dxa" w:w="144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Tier 1</w:t>
            </w:r>
          </w:p>
        </w:tc>
        <w:tc>
          <w:tcPr>
            <w:tcW w:type="dxa" w:w="3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PIK3CA, TP53, ERBB2, BRCA1, BRCA2</w:t>
            </w:r>
          </w:p>
        </w:tc>
        <w:tc>
          <w:tcPr>
            <w:tcW w:type="dxa" w:w="3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Genes accionables con terapia dirigida disponible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Tier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CDH1, GATA3, MAP3K1, KMT2C, PTEN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Drivers frecuentes en TCGA-BRCA</w:t>
            </w:r>
          </w:p>
        </w:tc>
      </w:tr>
      <w:tr>
        <w:tc>
          <w:tcPr>
            <w:tcW w:type="dxa" w:w="144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Tier 3</w:t>
            </w:r>
          </w:p>
        </w:tc>
        <w:tc>
          <w:tcPr>
            <w:tcW w:type="dxa" w:w="3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RB1, ARID1A, SF3B1, AKT1, CBFB</w:t>
            </w:r>
          </w:p>
        </w:tc>
        <w:tc>
          <w:tcPr>
            <w:tcW w:type="dxa" w:w="3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Relevantes en estudios TCGA previos</w:t>
            </w:r>
          </w:p>
        </w:tc>
      </w:tr>
    </w:tbl>
    <w:p/>
    <w:p>
      <w:pPr>
        <w:pStyle w:val="Heading2"/>
        <w:spacing w:before="280" w:after="80"/>
      </w:pPr>
      <w:r>
        <w:rPr>
          <w:rFonts w:ascii="Arial" w:cs="Arial" w:eastAsia="Arial" w:hAnsi="Arial"/>
          <w:b/>
          <w:bCs/>
          <w:color w:val="141418"/>
          <w:sz w:val="26"/>
          <w:szCs w:val="26"/>
        </w:rPr>
        <w:t xml:space="preserve">3.3 Funciones Principales de ingest_data.py</w:t>
      </w:r>
    </w:p>
    <w:p>
      <w:pPr>
        <w:spacing w:before="200" w:after="60"/>
      </w:pPr>
      <w:r>
        <w:rPr>
          <w:rFonts w:ascii="Arial" w:cs="Arial" w:eastAsia="Arial" w:hAnsi="Arial"/>
          <w:b/>
          <w:bCs/>
          <w:color w:val="0D7377"/>
          <w:sz w:val="22"/>
          <w:szCs w:val="22"/>
        </w:rPr>
        <w:t xml:space="preserve">fetch_mutations()</w:t>
      </w:r>
    </w:p>
    <w:p>
      <w:pPr>
        <w:spacing w:before="60" w:after="80"/>
      </w:pPr>
      <w:r>
        <w:rPr>
          <w:rFonts w:ascii="Arial" w:cs="Arial" w:eastAsia="Arial" w:hAnsi="Arial"/>
          <w:color w:val="1e293b"/>
          <w:sz w:val="22"/>
          <w:szCs w:val="22"/>
        </w:rPr>
        <w:t xml:space="preserve">Descarga todas las mutaciones del estudio en bloques paginados de 500 muestras. Primero obtiene la lista de todos los sample IDs del estudio, luego ejecuta solicitudes POST paginadas al endpoint /mutations/fetch con cada bloque:</w:t>
      </w:r>
    </w:p>
    <w:p>
      <w:pPr>
        <w:shd w:fill="F1F5F9" w:val="clear"/>
        <w:spacing w:before="40" w:after="40"/>
        <w:ind w:left="360" w:right="360"/>
      </w:pPr>
      <w:r>
        <w:rPr>
          <w:rFonts w:ascii="Courier New" w:cs="Courier New" w:eastAsia="Courier New" w:hAnsi="Courier New"/>
          <w:color w:val="1e3a5f"/>
          <w:sz w:val="18"/>
          <w:szCs w:val="18"/>
        </w:rPr>
        <w:t xml:space="preserve">POST /molecular-profiles/brca_tcga_mutations/mutations/fetch</w:t>
      </w:r>
    </w:p>
    <w:p>
      <w:pPr>
        <w:shd w:fill="F1F5F9" w:val="clear"/>
        <w:spacing w:before="40" w:after="40"/>
        <w:ind w:left="360" w:right="360"/>
      </w:pPr>
      <w:r>
        <w:rPr>
          <w:rFonts w:ascii="Courier New" w:cs="Courier New" w:eastAsia="Courier New" w:hAnsi="Courier New"/>
          <w:color w:val="1e3a5f"/>
          <w:sz w:val="18"/>
          <w:szCs w:val="18"/>
        </w:rPr>
        <w:t xml:space="preserve">Body: { sampleIds: [chunk_de_500_ids] }</w:t>
      </w:r>
    </w:p>
    <w:p>
      <w:pPr>
        <w:spacing w:before="60" w:after="80"/>
      </w:pPr>
      <w:r>
        <w:rPr>
          <w:rFonts w:ascii="Arial" w:cs="Arial" w:eastAsia="Arial" w:hAnsi="Arial"/>
          <w:color w:val="1e293b"/>
          <w:sz w:val="22"/>
          <w:szCs w:val="22"/>
        </w:rPr>
        <w:t xml:space="preserve">Retorna una lista de diccionarios con todos los campos de cada mutación. Total descargado: ~33,000 mutaciones del cohort completo.</w:t>
      </w:r>
    </w:p>
    <w:p/>
    <w:p>
      <w:pPr>
        <w:spacing w:before="200" w:after="60"/>
      </w:pPr>
      <w:r>
        <w:rPr>
          <w:rFonts w:ascii="Arial" w:cs="Arial" w:eastAsia="Arial" w:hAnsi="Arial"/>
          <w:b/>
          <w:bCs/>
          <w:color w:val="0D7377"/>
          <w:sz w:val="22"/>
          <w:szCs w:val="22"/>
        </w:rPr>
        <w:t xml:space="preserve">get_gene_mapping(entrez_ids)</w:t>
      </w:r>
    </w:p>
    <w:p>
      <w:pPr>
        <w:spacing w:before="60" w:after="80"/>
      </w:pPr>
      <w:r>
        <w:rPr>
          <w:rFonts w:ascii="Arial" w:cs="Arial" w:eastAsia="Arial" w:hAnsi="Arial"/>
          <w:color w:val="1e293b"/>
          <w:sz w:val="22"/>
          <w:szCs w:val="22"/>
        </w:rPr>
        <w:t xml:space="preserve">Mapea identificadores Entrez Gene ID (numéricos) a símbolos HUGO (PIK3CA, TP53, etc.) usando el endpoint /genes/fetch. Procesa hasta 500 IDs por solicitud POST.</w:t>
      </w:r>
    </w:p>
    <w:p/>
    <w:p>
      <w:pPr>
        <w:spacing w:before="200" w:after="60"/>
      </w:pPr>
      <w:r>
        <w:rPr>
          <w:rFonts w:ascii="Arial" w:cs="Arial" w:eastAsia="Arial" w:hAnsi="Arial"/>
          <w:b/>
          <w:bCs/>
          <w:color w:val="0D7377"/>
          <w:sz w:val="22"/>
          <w:szCs w:val="22"/>
        </w:rPr>
        <w:t xml:space="preserve">process_and_store(data, gene_map, total_samples)</w:t>
      </w:r>
    </w:p>
    <w:p>
      <w:pPr>
        <w:spacing w:before="60" w:after="80"/>
      </w:pPr>
      <w:r>
        <w:rPr>
          <w:rFonts w:ascii="Arial" w:cs="Arial" w:eastAsia="Arial" w:hAnsi="Arial"/>
          <w:color w:val="1e293b"/>
          <w:sz w:val="22"/>
          <w:szCs w:val="22"/>
        </w:rPr>
        <w:t xml:space="preserve">Esta es la función central del módulo M1. Realiza cuatro operaciones en secuencia:</w:t>
      </w:r>
    </w:p>
    <w:p>
      <w:pPr>
        <w:pStyle w:val="ListParagraph"/>
        <w:numPr>
          <w:ilvl w:val="0"/>
          <w:numId w:val="2"/>
        </w:numPr>
        <w:spacing w:before="40" w:after="40"/>
      </w:pPr>
      <w:r>
        <w:rPr>
          <w:rFonts w:ascii="Arial" w:cs="Arial" w:eastAsia="Arial" w:hAnsi="Arial"/>
          <w:color w:val="1e293b"/>
          <w:sz w:val="22"/>
          <w:szCs w:val="22"/>
        </w:rPr>
        <w:t xml:space="preserve">Mapeo de columnas: renombra mutationType → variant_classification, proteinChange → protein_change, sampleId → sample_id.</w:t>
      </w:r>
    </w:p>
    <w:p>
      <w:pPr>
        <w:pStyle w:val="ListParagraph"/>
        <w:numPr>
          <w:ilvl w:val="0"/>
          <w:numId w:val="2"/>
        </w:numPr>
        <w:spacing w:before="40" w:after="40"/>
      </w:pPr>
      <w:r>
        <w:rPr>
          <w:rFonts w:ascii="Arial" w:cs="Arial" w:eastAsia="Arial" w:hAnsi="Arial"/>
          <w:color w:val="1e293b"/>
          <w:sz w:val="22"/>
          <w:szCs w:val="22"/>
        </w:rPr>
        <w:t xml:space="preserve">Filtrado: selecciona únicamente mutaciones Missense en los 15 genes clave.</w:t>
      </w:r>
    </w:p>
    <w:p>
      <w:pPr>
        <w:pStyle w:val="ListParagraph"/>
        <w:numPr>
          <w:ilvl w:val="0"/>
          <w:numId w:val="2"/>
        </w:numPr>
        <w:spacing w:before="40" w:after="40"/>
      </w:pPr>
      <w:r>
        <w:rPr>
          <w:rFonts w:ascii="Arial" w:cs="Arial" w:eastAsia="Arial" w:hAnsi="Arial"/>
          <w:color w:val="1e293b"/>
          <w:sz w:val="22"/>
          <w:szCs w:val="22"/>
        </w:rPr>
        <w:t xml:space="preserve">Ranking: agrupa por (gen, cambio_proteico), cuenta frecuencia, calcula cohort_percentage y asigna clasificación clínica.</w:t>
      </w:r>
    </w:p>
    <w:p>
      <w:pPr>
        <w:pStyle w:val="ListParagraph"/>
        <w:numPr>
          <w:ilvl w:val="0"/>
          <w:numId w:val="2"/>
        </w:numPr>
        <w:spacing w:before="40" w:after="40"/>
      </w:pPr>
      <w:r>
        <w:rPr>
          <w:rFonts w:ascii="Arial" w:cs="Arial" w:eastAsia="Arial" w:hAnsi="Arial"/>
          <w:color w:val="1e293b"/>
          <w:sz w:val="22"/>
          <w:szCs w:val="22"/>
        </w:rPr>
        <w:t xml:space="preserve">Exportación: genera raw_mutations.json (cohort completo), top_variants.json (Top-20 rankeados) y mutation_stats.json (distribuciones para gráficas).</w:t>
      </w:r>
    </w:p>
    <w:p/>
    <w:p>
      <w:pPr>
        <w:pStyle w:val="Heading2"/>
        <w:spacing w:before="280" w:after="80"/>
      </w:pPr>
      <w:r>
        <w:rPr>
          <w:rFonts w:ascii="Arial" w:cs="Arial" w:eastAsia="Arial" w:hAnsi="Arial"/>
          <w:b/>
          <w:bCs/>
          <w:color w:val="141418"/>
          <w:sz w:val="26"/>
          <w:szCs w:val="26"/>
        </w:rPr>
        <w:t xml:space="preserve">3.4 Esquema de Clasificación</w:t>
      </w:r>
    </w:p>
    <w:p>
      <w:pPr>
        <w:spacing w:before="60" w:after="80"/>
      </w:pPr>
      <w:r>
        <w:rPr>
          <w:rFonts w:ascii="Arial" w:cs="Arial" w:eastAsia="Arial" w:hAnsi="Arial"/>
          <w:color w:val="1e293b"/>
          <w:sz w:val="22"/>
          <w:szCs w:val="22"/>
        </w:rPr>
        <w:t xml:space="preserve">La clasificación de variantes se asigna automáticamente con base en frecuencia en la cohorte: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Umbral</w:t>
            </w:r>
          </w:p>
        </w:tc>
        <w:tc>
          <w:tcPr>
            <w:tcW w:type="dxa" w:w="4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Patogénica</w:t>
            </w:r>
          </w:p>
        </w:tc>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&gt;= 5% cohorte</w:t>
            </w:r>
          </w:p>
        </w:tc>
        <w:tc>
          <w:tcPr>
            <w:tcW w:type="dxa" w:w="4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Alta frecuencia, evidencia de driver oncogénico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Prob. Patogénica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1 - 4.9%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Frecuencia media, posible driver</w:t>
            </w:r>
          </w:p>
        </w:tc>
      </w:tr>
      <w:tr>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VUS</w:t>
            </w:r>
          </w:p>
        </w:tc>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0.5 - 0.99%</w:t>
            </w:r>
          </w:p>
        </w:tc>
        <w:tc>
          <w:tcPr>
            <w:tcW w:type="dxa" w:w="4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Variante de Significado Incierto — objetivo del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Baja Frecuencia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0.5%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Probablemente pasajera o rara</w:t>
            </w:r>
          </w:p>
        </w:tc>
      </w:tr>
    </w:tbl>
    <w:p/>
    <w:p>
      <w:r>
        <w:br w:type="page"/>
      </w:r>
    </w:p>
    <w:p>
      <w:pPr>
        <w:pStyle w:val="Heading1"/>
        <w:spacing w:before="360" w:after="120"/>
      </w:pPr>
      <w:r>
        <w:rPr>
          <w:rFonts w:ascii="Arial" w:cs="Arial" w:eastAsia="Arial" w:hAnsi="Arial"/>
          <w:b/>
          <w:bCs/>
          <w:color w:val="0D7377"/>
          <w:sz w:val="32"/>
          <w:szCs w:val="32"/>
        </w:rPr>
        <w:t xml:space="preserve">4. Módulo M2 — Generación de Secuencias FASTA</w:t>
      </w:r>
    </w:p>
    <w:p>
      <w:pPr>
        <w:pStyle w:val="Heading2"/>
        <w:spacing w:before="280" w:after="80"/>
      </w:pPr>
      <w:r>
        <w:rPr>
          <w:rFonts w:ascii="Arial" w:cs="Arial" w:eastAsia="Arial" w:hAnsi="Arial"/>
          <w:b/>
          <w:bCs/>
          <w:color w:val="141418"/>
          <w:sz w:val="26"/>
          <w:szCs w:val="26"/>
        </w:rPr>
        <w:t xml:space="preserve">4.1 Objetivo</w:t>
      </w:r>
    </w:p>
    <w:p>
      <w:pPr>
        <w:spacing w:before="60" w:after="80"/>
      </w:pPr>
      <w:r>
        <w:rPr>
          <w:rFonts w:ascii="Arial" w:cs="Arial" w:eastAsia="Arial" w:hAnsi="Arial"/>
          <w:color w:val="1e293b"/>
          <w:sz w:val="22"/>
          <w:szCs w:val="22"/>
        </w:rPr>
        <w:t xml:space="preserve">Este módulo construye las secuencias de aminoácidos de cada proteína en su forma Wild-Type (WT) y en su forma mutada, para ser usadas como entrada en la predicción estructural de M3.</w:t>
      </w:r>
    </w:p>
    <w:p>
      <w:pPr>
        <w:pStyle w:val="Heading2"/>
        <w:spacing w:before="280" w:after="80"/>
      </w:pPr>
      <w:r>
        <w:rPr>
          <w:rFonts w:ascii="Arial" w:cs="Arial" w:eastAsia="Arial" w:hAnsi="Arial"/>
          <w:b/>
          <w:bCs/>
          <w:color w:val="141418"/>
          <w:sz w:val="26"/>
          <w:szCs w:val="26"/>
        </w:rPr>
        <w:t xml:space="preserve">4.2 Integración con UniProt</w:t>
      </w:r>
    </w:p>
    <w:p>
      <w:pPr>
        <w:spacing w:before="60" w:after="80"/>
      </w:pPr>
      <w:r>
        <w:rPr>
          <w:rFonts w:ascii="Arial" w:cs="Arial" w:eastAsia="Arial" w:hAnsi="Arial"/>
          <w:color w:val="1e293b"/>
          <w:sz w:val="22"/>
          <w:szCs w:val="22"/>
        </w:rPr>
        <w:t xml:space="preserve">El script fetch_fasta.py utiliza la API REST de UniProt para obtener las secuencias canónicas en formato FASTA:</w:t>
      </w:r>
    </w:p>
    <w:p>
      <w:pPr>
        <w:shd w:fill="F1F5F9" w:val="clear"/>
        <w:spacing w:before="40" w:after="40"/>
        <w:ind w:left="360" w:right="360"/>
      </w:pPr>
      <w:r>
        <w:rPr>
          <w:rFonts w:ascii="Courier New" w:cs="Courier New" w:eastAsia="Courier New" w:hAnsi="Courier New"/>
          <w:color w:val="1e3a5f"/>
          <w:sz w:val="18"/>
          <w:szCs w:val="18"/>
        </w:rPr>
        <w:t xml:space="preserve">GET https://rest.uniprot.org/uniprotkb/search</w:t>
      </w:r>
    </w:p>
    <w:p>
      <w:pPr>
        <w:shd w:fill="F1F5F9" w:val="clear"/>
        <w:spacing w:before="40" w:after="40"/>
        <w:ind w:left="360" w:right="360"/>
      </w:pPr>
      <w:r>
        <w:rPr>
          <w:rFonts w:ascii="Courier New" w:cs="Courier New" w:eastAsia="Courier New" w:hAnsi="Courier New"/>
          <w:color w:val="1e3a5f"/>
          <w:sz w:val="18"/>
          <w:szCs w:val="18"/>
        </w:rPr>
        <w:t xml:space="preserve">   ?query=gene:{GENE} AND organism_id:9606 AND reviewed:true</w:t>
      </w:r>
    </w:p>
    <w:p>
      <w:pPr>
        <w:shd w:fill="F1F5F9" w:val="clear"/>
        <w:spacing w:before="40" w:after="40"/>
        <w:ind w:left="360" w:right="360"/>
      </w:pPr>
      <w:r>
        <w:rPr>
          <w:rFonts w:ascii="Courier New" w:cs="Courier New" w:eastAsia="Courier New" w:hAnsi="Courier New"/>
          <w:color w:val="1e3a5f"/>
          <w:sz w:val="18"/>
          <w:szCs w:val="18"/>
        </w:rPr>
        <w:t xml:space="preserve">   &amp;format=json&amp;size=1</w:t>
      </w:r>
    </w:p>
    <w:p>
      <w:pPr>
        <w:spacing w:before="60" w:after="80"/>
      </w:pPr>
      <w:r>
        <w:rPr>
          <w:rFonts w:ascii="Arial" w:cs="Arial" w:eastAsia="Arial" w:hAnsi="Arial"/>
          <w:color w:val="1e293b"/>
          <w:sz w:val="22"/>
          <w:szCs w:val="22"/>
        </w:rPr>
        <w:t xml:space="preserve">El parámetro reviewed:true asegura que solo se use la secuencia de la base de datos Swiss-Prot (curada manualmente), no TrEMBL (predicha). Luego descarga el FASTA completo con:</w:t>
      </w:r>
    </w:p>
    <w:p>
      <w:pPr>
        <w:shd w:fill="F1F5F9" w:val="clear"/>
        <w:spacing w:before="40" w:after="40"/>
        <w:ind w:left="360" w:right="360"/>
      </w:pPr>
      <w:r>
        <w:rPr>
          <w:rFonts w:ascii="Courier New" w:cs="Courier New" w:eastAsia="Courier New" w:hAnsi="Courier New"/>
          <w:color w:val="1e3a5f"/>
          <w:sz w:val="18"/>
          <w:szCs w:val="18"/>
        </w:rPr>
        <w:t xml:space="preserve">GET https://www.uniprot.org/uniprot/{accession}.fasta</w:t>
      </w:r>
    </w:p>
    <w:p/>
    <w:p>
      <w:pPr>
        <w:pStyle w:val="Heading2"/>
        <w:spacing w:before="280" w:after="80"/>
      </w:pPr>
      <w:r>
        <w:rPr>
          <w:rFonts w:ascii="Arial" w:cs="Arial" w:eastAsia="Arial" w:hAnsi="Arial"/>
          <w:b/>
          <w:bCs/>
          <w:color w:val="141418"/>
          <w:sz w:val="26"/>
          <w:szCs w:val="26"/>
        </w:rPr>
        <w:t xml:space="preserve">4.3 Función apply_mutation()</w:t>
      </w:r>
    </w:p>
    <w:p>
      <w:pPr>
        <w:spacing w:before="60" w:after="80"/>
      </w:pPr>
      <w:r>
        <w:rPr>
          <w:rFonts w:ascii="Arial" w:cs="Arial" w:eastAsia="Arial" w:hAnsi="Arial"/>
          <w:color w:val="1e293b"/>
          <w:sz w:val="22"/>
          <w:szCs w:val="22"/>
        </w:rPr>
        <w:t xml:space="preserve">Recibe la secuencia WT en formato FASTA y el código de cambio proteico (ej. H1047R) y produce la secuencia mutada:</w:t>
      </w:r>
    </w:p>
    <w:p>
      <w:pPr>
        <w:pStyle w:val="ListParagraph"/>
        <w:numPr>
          <w:ilvl w:val="0"/>
          <w:numId w:val="2"/>
        </w:numPr>
        <w:spacing w:before="40" w:after="40"/>
      </w:pPr>
      <w:r>
        <w:rPr>
          <w:rFonts w:ascii="Arial" w:cs="Arial" w:eastAsia="Arial" w:hAnsi="Arial"/>
          <w:color w:val="1e293b"/>
          <w:sz w:val="22"/>
          <w:szCs w:val="22"/>
        </w:rPr>
        <w:t xml:space="preserve">Parsea el cambio con regex: r'([A-Z])(\d+)([A-Z])' → aminoácido_WT, posición, aminoácido_MUT</w:t>
      </w:r>
    </w:p>
    <w:p>
      <w:pPr>
        <w:pStyle w:val="ListParagraph"/>
        <w:numPr>
          <w:ilvl w:val="0"/>
          <w:numId w:val="2"/>
        </w:numPr>
        <w:spacing w:before="40" w:after="40"/>
      </w:pPr>
      <w:r>
        <w:rPr>
          <w:rFonts w:ascii="Arial" w:cs="Arial" w:eastAsia="Arial" w:hAnsi="Arial"/>
          <w:color w:val="1e293b"/>
          <w:sz w:val="22"/>
          <w:szCs w:val="22"/>
        </w:rPr>
        <w:t xml:space="preserve">Convierte la secuencia a MutableSeq de Biopython</w:t>
      </w:r>
    </w:p>
    <w:p>
      <w:pPr>
        <w:pStyle w:val="ListParagraph"/>
        <w:numPr>
          <w:ilvl w:val="0"/>
          <w:numId w:val="2"/>
        </w:numPr>
        <w:spacing w:before="40" w:after="40"/>
      </w:pPr>
      <w:r>
        <w:rPr>
          <w:rFonts w:ascii="Arial" w:cs="Arial" w:eastAsia="Arial" w:hAnsi="Arial"/>
          <w:color w:val="1e293b"/>
          <w:sz w:val="22"/>
          <w:szCs w:val="22"/>
        </w:rPr>
        <w:t xml:space="preserve">Verifica que el aminoácido en la posición indicada coincida con el WT esperado (validación de consistencia)</w:t>
      </w:r>
    </w:p>
    <w:p>
      <w:pPr>
        <w:pStyle w:val="ListParagraph"/>
        <w:numPr>
          <w:ilvl w:val="0"/>
          <w:numId w:val="2"/>
        </w:numPr>
        <w:spacing w:before="40" w:after="40"/>
      </w:pPr>
      <w:r>
        <w:rPr>
          <w:rFonts w:ascii="Arial" w:cs="Arial" w:eastAsia="Arial" w:hAnsi="Arial"/>
          <w:color w:val="1e293b"/>
          <w:sz w:val="22"/>
          <w:szCs w:val="22"/>
        </w:rPr>
        <w:t xml:space="preserve">Realiza la sustitución puntual en la posición 1-indexada</w:t>
      </w:r>
    </w:p>
    <w:p>
      <w:pPr>
        <w:pStyle w:val="ListParagraph"/>
        <w:numPr>
          <w:ilvl w:val="0"/>
          <w:numId w:val="2"/>
        </w:numPr>
        <w:spacing w:before="40" w:after="40"/>
      </w:pPr>
      <w:r>
        <w:rPr>
          <w:rFonts w:ascii="Arial" w:cs="Arial" w:eastAsia="Arial" w:hAnsi="Arial"/>
          <w:color w:val="1e293b"/>
          <w:sz w:val="22"/>
          <w:szCs w:val="22"/>
        </w:rPr>
        <w:t xml:space="preserve">Retorna ambas secuencias como strings: (wt_str, mut_str, pos)</w:t>
      </w:r>
    </w:p>
    <w:p>
      <w:pPr>
        <w:spacing w:before="60" w:after="80"/>
      </w:pPr>
      <w:r>
        <w:rPr>
          <w:rFonts w:ascii="Arial" w:cs="Arial" w:eastAsia="Arial" w:hAnsi="Arial"/>
          <w:color w:val="1e293b"/>
          <w:sz w:val="22"/>
          <w:szCs w:val="22"/>
        </w:rPr>
        <w:t xml:space="preserve">Las secuencias se guardan en disco y en MongoDB:</w:t>
      </w:r>
    </w:p>
    <w:p>
      <w:pPr>
        <w:shd w:fill="F1F5F9" w:val="clear"/>
        <w:spacing w:before="40" w:after="40"/>
        <w:ind w:left="360" w:right="360"/>
      </w:pPr>
      <w:r>
        <w:rPr>
          <w:rFonts w:ascii="Courier New" w:cs="Courier New" w:eastAsia="Courier New" w:hAnsi="Courier New"/>
          <w:color w:val="1e3a5f"/>
          <w:sz w:val="18"/>
          <w:szCs w:val="18"/>
        </w:rPr>
        <w:t xml:space="preserve">data/fasta/{gen}_WT.fasta     &lt;- secuencia original</w:t>
      </w:r>
    </w:p>
    <w:p>
      <w:pPr>
        <w:shd w:fill="F1F5F9" w:val="clear"/>
        <w:spacing w:before="40" w:after="40"/>
        <w:ind w:left="360" w:right="360"/>
      </w:pPr>
      <w:r>
        <w:rPr>
          <w:rFonts w:ascii="Courier New" w:cs="Courier New" w:eastAsia="Courier New" w:hAnsi="Courier New"/>
          <w:color w:val="1e3a5f"/>
          <w:sz w:val="18"/>
          <w:szCs w:val="18"/>
        </w:rPr>
        <w:t xml:space="preserve">data/fasta/{gen}_{cambio}.fasta  &lt;- secuencia con mutación puntual</w:t>
      </w:r>
    </w:p>
    <w:p/>
    <w:p>
      <w:pPr>
        <w:pStyle w:val="Heading2"/>
        <w:spacing w:before="280" w:after="80"/>
      </w:pPr>
      <w:r>
        <w:rPr>
          <w:rFonts w:ascii="Arial" w:cs="Arial" w:eastAsia="Arial" w:hAnsi="Arial"/>
          <w:b/>
          <w:bCs/>
          <w:color w:val="141418"/>
          <w:sz w:val="26"/>
          <w:szCs w:val="26"/>
        </w:rPr>
        <w:t xml:space="preserve">4.4 Gestión de Proteínas Largas — generate_structures.py</w:t>
      </w:r>
    </w:p>
    <w:p>
      <w:pPr>
        <w:spacing w:before="60" w:after="80"/>
      </w:pPr>
      <w:r>
        <w:rPr>
          <w:rFonts w:ascii="Arial" w:cs="Arial" w:eastAsia="Arial" w:hAnsi="Arial"/>
          <w:color w:val="1e293b"/>
          <w:sz w:val="22"/>
          <w:szCs w:val="22"/>
        </w:rPr>
        <w:t xml:space="preserve">Dado que ESMFold tiene un límite de ~390 aminoácidos, las proteínas grandes requieren un fragmento de dominio:</w:t>
      </w:r>
    </w:p>
    <w:p>
      <w:pPr>
        <w:shd w:fill="F1F5F9" w:val="clear"/>
        <w:spacing w:before="40" w:after="40"/>
        <w:ind w:left="360" w:right="360"/>
      </w:pPr>
      <w:r>
        <w:rPr>
          <w:rFonts w:ascii="Courier New" w:cs="Courier New" w:eastAsia="Courier New" w:hAnsi="Courier New"/>
          <w:color w:val="1e3a5f"/>
          <w:sz w:val="18"/>
          <w:szCs w:val="18"/>
        </w:rPr>
        <w:t xml:space="preserve">def get_domain_fragment(seq, mut_pos, window=180):</w:t>
      </w:r>
    </w:p>
    <w:p>
      <w:pPr>
        <w:shd w:fill="F1F5F9" w:val="clear"/>
        <w:spacing w:before="40" w:after="40"/>
        <w:ind w:left="360" w:right="360"/>
      </w:pPr>
      <w:r>
        <w:rPr>
          <w:rFonts w:ascii="Courier New" w:cs="Courier New" w:eastAsia="Courier New" w:hAnsi="Courier New"/>
          <w:color w:val="1e3a5f"/>
          <w:sz w:val="18"/>
          <w:szCs w:val="18"/>
        </w:rPr>
        <w:t xml:space="preserve">    start = max(0, mut_pos - window - 1)</w:t>
      </w:r>
    </w:p>
    <w:p>
      <w:pPr>
        <w:shd w:fill="F1F5F9" w:val="clear"/>
        <w:spacing w:before="40" w:after="40"/>
        <w:ind w:left="360" w:right="360"/>
      </w:pPr>
      <w:r>
        <w:rPr>
          <w:rFonts w:ascii="Courier New" w:cs="Courier New" w:eastAsia="Courier New" w:hAnsi="Courier New"/>
          <w:color w:val="1e3a5f"/>
          <w:sz w:val="18"/>
          <w:szCs w:val="18"/>
        </w:rPr>
        <w:t xml:space="preserve">    end   = min(len(seq), mut_pos + window)</w:t>
      </w:r>
    </w:p>
    <w:p>
      <w:pPr>
        <w:shd w:fill="F1F5F9" w:val="clear"/>
        <w:spacing w:before="40" w:after="40"/>
        <w:ind w:left="360" w:right="360"/>
      </w:pPr>
      <w:r>
        <w:rPr>
          <w:rFonts w:ascii="Courier New" w:cs="Courier New" w:eastAsia="Courier New" w:hAnsi="Courier New"/>
          <w:color w:val="1e3a5f"/>
          <w:sz w:val="18"/>
          <w:szCs w:val="18"/>
        </w:rPr>
        <w:t xml:space="preserve">    return seq[start:end], start + 1</w:t>
      </w:r>
    </w:p>
    <w:p>
      <w:pPr>
        <w:spacing w:before="60" w:after="80"/>
      </w:pPr>
      <w:r>
        <w:rPr>
          <w:rFonts w:ascii="Arial" w:cs="Arial" w:eastAsia="Arial" w:hAnsi="Arial"/>
          <w:color w:val="1e293b"/>
          <w:sz w:val="22"/>
          <w:szCs w:val="22"/>
        </w:rPr>
        <w:t xml:space="preserve">Esto extrae una ventana de 360 aminoácidos centrada en la posición de la mutación. Proteínas como PIK3CA (1,068 aa), SF3B1 (1,304 aa) y PTEN (403 aa) se procesan en fragmentos, preservando el contexto estructural de la mutación.</w:t>
      </w:r>
    </w:p>
    <w:p/>
    <w:p>
      <w:r>
        <w:br w:type="page"/>
      </w:r>
    </w:p>
    <w:p>
      <w:pPr>
        <w:pStyle w:val="Heading1"/>
        <w:spacing w:before="360" w:after="120"/>
      </w:pPr>
      <w:r>
        <w:rPr>
          <w:rFonts w:ascii="Arial" w:cs="Arial" w:eastAsia="Arial" w:hAnsi="Arial"/>
          <w:b/>
          <w:bCs/>
          <w:color w:val="0D7377"/>
          <w:sz w:val="32"/>
          <w:szCs w:val="32"/>
        </w:rPr>
        <w:t xml:space="preserve">5. Módulo M3 — Predicción Estructural 3D</w:t>
      </w:r>
    </w:p>
    <w:p>
      <w:pPr>
        <w:pStyle w:val="Heading2"/>
        <w:spacing w:before="280" w:after="80"/>
      </w:pPr>
      <w:r>
        <w:rPr>
          <w:rFonts w:ascii="Arial" w:cs="Arial" w:eastAsia="Arial" w:hAnsi="Arial"/>
          <w:b/>
          <w:bCs/>
          <w:color w:val="141418"/>
          <w:sz w:val="26"/>
          <w:szCs w:val="26"/>
        </w:rPr>
        <w:t xml:space="preserve">5.1 Herramientas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Uso en el Pipeline</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Boltz-1</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Modelo IA (GPU)</w:t>
            </w:r>
          </w:p>
        </w:tc>
        <w:tc>
          <w:tcPr>
            <w:tcW w:type="dxa" w:w="4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Predicción principal. Se ejecuta en Google Colab con GPU T4. Produce archivos CIF (mmCIF) con scores pLDDT por residuo.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ESMFold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HTTP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Predicción complementaria vía API pública (esmatlas.com). Acepta secuencias de hasta ~390 aa. Produce archivos PDB.</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PDBe Molstar v3.2</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Visualizador Web</w:t>
            </w:r>
          </w:p>
        </w:tc>
        <w:tc>
          <w:tcPr>
            <w:tcW w:type="dxa" w:w="4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Renderizado 3D interactivo en la app web. Lee archivos CIF y PDB directamente desde disco.</w:t>
            </w:r>
          </w:p>
        </w:tc>
      </w:tr>
    </w:tbl>
    <w:p/>
    <w:p>
      <w:pPr>
        <w:pStyle w:val="Heading2"/>
        <w:spacing w:before="280" w:after="80"/>
      </w:pPr>
      <w:r>
        <w:rPr>
          <w:rFonts w:ascii="Arial" w:cs="Arial" w:eastAsia="Arial" w:hAnsi="Arial"/>
          <w:b/>
          <w:bCs/>
          <w:color w:val="141418"/>
          <w:sz w:val="26"/>
          <w:szCs w:val="26"/>
        </w:rPr>
        <w:t xml:space="preserve">5.2 Integración con Boltz-1 en Google Colab</w:t>
      </w:r>
    </w:p>
    <w:p>
      <w:pPr>
        <w:spacing w:before="60" w:after="80"/>
      </w:pPr>
      <w:r>
        <w:rPr>
          <w:rFonts w:ascii="Arial" w:cs="Arial" w:eastAsia="Arial" w:hAnsi="Arial"/>
          <w:color w:val="1e293b"/>
          <w:sz w:val="22"/>
          <w:szCs w:val="22"/>
        </w:rPr>
        <w:t xml:space="preserve">El notebook 01_tcga_exploration.ipynb orquesta la ejecución de Boltz-1. La configuración del entorno resuelve tres incompatibilidades críticas:</w:t>
      </w:r>
    </w:p>
    <w:p>
      <w:pPr>
        <w:pStyle w:val="ListParagraph"/>
        <w:numPr>
          <w:ilvl w:val="0"/>
          <w:numId w:val="2"/>
        </w:numPr>
        <w:spacing w:before="40" w:after="40"/>
      </w:pPr>
      <w:r>
        <w:rPr>
          <w:rFonts w:ascii="Arial" w:cs="Arial" w:eastAsia="Arial" w:hAnsi="Arial"/>
          <w:color w:val="1e293b"/>
          <w:sz w:val="22"/>
          <w:szCs w:val="22"/>
        </w:rPr>
        <w:t xml:space="preserve">NumPy y Pandas: se fija numpy==1.26.4 y pandas==2.2.2 para evitar errores de incompatibilidad binaria con extensiones C.</w:t>
      </w:r>
    </w:p>
    <w:p>
      <w:pPr>
        <w:pStyle w:val="ListParagraph"/>
        <w:numPr>
          <w:ilvl w:val="0"/>
          <w:numId w:val="2"/>
        </w:numPr>
        <w:spacing w:before="40" w:after="40"/>
      </w:pPr>
      <w:r>
        <w:rPr>
          <w:rFonts w:ascii="Arial" w:cs="Arial" w:eastAsia="Arial" w:hAnsi="Arial"/>
          <w:color w:val="1e293b"/>
          <w:sz w:val="22"/>
          <w:szCs w:val="22"/>
        </w:rPr>
        <w:t xml:space="preserve">PyTorch Lightning: se fija pytorch-lightning==2.1.4 compatible con la API interna que Boltz-1 utiliza (la versión 2.2+ rompe el entrenamiento).</w:t>
      </w:r>
    </w:p>
    <w:p>
      <w:pPr>
        <w:pStyle w:val="ListParagraph"/>
        <w:numPr>
          <w:ilvl w:val="0"/>
          <w:numId w:val="2"/>
        </w:numPr>
        <w:spacing w:before="40" w:after="40"/>
      </w:pPr>
      <w:r>
        <w:rPr>
          <w:rFonts w:ascii="Arial" w:cs="Arial" w:eastAsia="Arial" w:hAnsi="Arial"/>
          <w:color w:val="1e293b"/>
          <w:sz w:val="22"/>
          <w:szCs w:val="22"/>
        </w:rPr>
        <w:t xml:space="preserve">Google Drive: se montan symlinks /content/data → Drive/GEMAMX/data para persistencia entre sesiones de Colab.</w:t>
      </w:r>
    </w:p>
    <w:p>
      <w:pPr>
        <w:spacing w:before="60" w:after="80"/>
      </w:pPr>
      <w:r>
        <w:rPr>
          <w:rFonts w:ascii="Arial" w:cs="Arial" w:eastAsia="Arial" w:hAnsi="Arial"/>
          <w:color w:val="1e293b"/>
          <w:sz w:val="22"/>
          <w:szCs w:val="22"/>
        </w:rPr>
        <w:t xml:space="preserve">El comando de predicción que ejecuta el notebook por cada variante es:</w:t>
      </w:r>
    </w:p>
    <w:p>
      <w:pPr>
        <w:shd w:fill="F1F5F9" w:val="clear"/>
        <w:spacing w:before="40" w:after="40"/>
        <w:ind w:left="360" w:right="360"/>
      </w:pPr>
      <w:r>
        <w:rPr>
          <w:rFonts w:ascii="Courier New" w:cs="Courier New" w:eastAsia="Courier New" w:hAnsi="Courier New"/>
          <w:color w:val="1e3a5f"/>
          <w:sz w:val="18"/>
          <w:szCs w:val="18"/>
        </w:rPr>
        <w:t xml:space="preserve">boltz predict data/fasta/{variante}.fasta \</w:t>
      </w:r>
    </w:p>
    <w:p>
      <w:pPr>
        <w:shd w:fill="F1F5F9" w:val="clear"/>
        <w:spacing w:before="40" w:after="40"/>
        <w:ind w:left="360" w:right="360"/>
      </w:pPr>
      <w:r>
        <w:rPr>
          <w:rFonts w:ascii="Courier New" w:cs="Courier New" w:eastAsia="Courier New" w:hAnsi="Courier New"/>
          <w:color w:val="1e3a5f"/>
          <w:sz w:val="18"/>
          <w:szCs w:val="18"/>
        </w:rPr>
        <w:t xml:space="preserve">    --out_dir data/structures/boltz_results_{variante} \</w:t>
      </w:r>
    </w:p>
    <w:p>
      <w:pPr>
        <w:shd w:fill="F1F5F9" w:val="clear"/>
        <w:spacing w:before="40" w:after="40"/>
        <w:ind w:left="360" w:right="360"/>
      </w:pPr>
      <w:r>
        <w:rPr>
          <w:rFonts w:ascii="Courier New" w:cs="Courier New" w:eastAsia="Courier New" w:hAnsi="Courier New"/>
          <w:color w:val="1e3a5f"/>
          <w:sz w:val="18"/>
          <w:szCs w:val="18"/>
        </w:rPr>
        <w:t xml:space="preserve">    --use_msa_server \</w:t>
      </w:r>
    </w:p>
    <w:p>
      <w:pPr>
        <w:shd w:fill="F1F5F9" w:val="clear"/>
        <w:spacing w:before="40" w:after="40"/>
        <w:ind w:left="360" w:right="360"/>
      </w:pPr>
      <w:r>
        <w:rPr>
          <w:rFonts w:ascii="Courier New" w:cs="Courier New" w:eastAsia="Courier New" w:hAnsi="Courier New"/>
          <w:color w:val="1e3a5f"/>
          <w:sz w:val="18"/>
          <w:szCs w:val="18"/>
        </w:rPr>
        <w:t xml:space="preserve">    --recycling_steps 3</w:t>
      </w:r>
    </w:p>
    <w:p/>
    <w:p>
      <w:pPr>
        <w:pStyle w:val="Heading2"/>
        <w:spacing w:before="280" w:after="80"/>
      </w:pPr>
      <w:r>
        <w:rPr>
          <w:rFonts w:ascii="Arial" w:cs="Arial" w:eastAsia="Arial" w:hAnsi="Arial"/>
          <w:b/>
          <w:bCs/>
          <w:color w:val="141418"/>
          <w:sz w:val="26"/>
          <w:szCs w:val="26"/>
        </w:rPr>
        <w:t xml:space="preserve">5.3 Estructura de Salida de Boltz-1</w:t>
      </w:r>
    </w:p>
    <w:p>
      <w:pPr>
        <w:spacing w:before="60" w:after="80"/>
      </w:pPr>
      <w:r>
        <w:rPr>
          <w:rFonts w:ascii="Arial" w:cs="Arial" w:eastAsia="Arial" w:hAnsi="Arial"/>
          <w:color w:val="1e293b"/>
          <w:sz w:val="22"/>
          <w:szCs w:val="22"/>
        </w:rPr>
        <w:t xml:space="preserve">Boltz-1 produce una carpeta por variante con la siguiente estructura:</w:t>
      </w:r>
    </w:p>
    <w:p>
      <w:pPr>
        <w:shd w:fill="F1F5F9" w:val="clear"/>
        <w:spacing w:before="40" w:after="40"/>
        <w:ind w:left="360" w:right="360"/>
      </w:pPr>
      <w:r>
        <w:rPr>
          <w:rFonts w:ascii="Courier New" w:cs="Courier New" w:eastAsia="Courier New" w:hAnsi="Courier New"/>
          <w:color w:val="1e3a5f"/>
          <w:sz w:val="18"/>
          <w:szCs w:val="18"/>
        </w:rPr>
        <w:t xml:space="preserve">data/structures/boltz_results_{VARIANTE}/</w:t>
      </w:r>
    </w:p>
    <w:p>
      <w:pPr>
        <w:shd w:fill="F1F5F9" w:val="clear"/>
        <w:spacing w:before="40" w:after="40"/>
        <w:ind w:left="360" w:right="360"/>
      </w:pPr>
      <w:r>
        <w:rPr>
          <w:rFonts w:ascii="Courier New" w:cs="Courier New" w:eastAsia="Courier New" w:hAnsi="Courier New"/>
          <w:color w:val="1e3a5f"/>
          <w:sz w:val="18"/>
          <w:szCs w:val="18"/>
        </w:rPr>
        <w:t xml:space="preserve">  predictions/</w:t>
      </w:r>
    </w:p>
    <w:p>
      <w:pPr>
        <w:shd w:fill="F1F5F9" w:val="clear"/>
        <w:spacing w:before="40" w:after="40"/>
        <w:ind w:left="360" w:right="360"/>
      </w:pPr>
      <w:r>
        <w:rPr>
          <w:rFonts w:ascii="Courier New" w:cs="Courier New" w:eastAsia="Courier New" w:hAnsi="Courier New"/>
          <w:color w:val="1e3a5f"/>
          <w:sz w:val="18"/>
          <w:szCs w:val="18"/>
        </w:rPr>
        <w:t xml:space="preserve">    {VARIANTE}/</w:t>
      </w:r>
    </w:p>
    <w:p>
      <w:pPr>
        <w:shd w:fill="F1F5F9" w:val="clear"/>
        <w:spacing w:before="40" w:after="40"/>
        <w:ind w:left="360" w:right="360"/>
      </w:pPr>
      <w:r>
        <w:rPr>
          <w:rFonts w:ascii="Courier New" w:cs="Courier New" w:eastAsia="Courier New" w:hAnsi="Courier New"/>
          <w:color w:val="1e3a5f"/>
          <w:sz w:val="18"/>
          <w:szCs w:val="18"/>
        </w:rPr>
        <w:t xml:space="preserve">      {VARIANTE}_model_0.cif      &lt;- estructura 3D en formato mmCIF</w:t>
      </w:r>
    </w:p>
    <w:p>
      <w:pPr>
        <w:shd w:fill="F1F5F9" w:val="clear"/>
        <w:spacing w:before="40" w:after="40"/>
        <w:ind w:left="360" w:right="360"/>
      </w:pPr>
      <w:r>
        <w:rPr>
          <w:rFonts w:ascii="Courier New" w:cs="Courier New" w:eastAsia="Courier New" w:hAnsi="Courier New"/>
          <w:color w:val="1e3a5f"/>
          <w:sz w:val="18"/>
          <w:szCs w:val="18"/>
        </w:rPr>
        <w:t xml:space="preserve">      confidence_{VARIANTE}_model_0.json  &lt;- scores pLDDT</w:t>
      </w:r>
    </w:p>
    <w:p>
      <w:pPr>
        <w:spacing w:before="60" w:after="80"/>
      </w:pPr>
      <w:r>
        <w:rPr>
          <w:rFonts w:ascii="Arial" w:cs="Arial" w:eastAsia="Arial" w:hAnsi="Arial"/>
          <w:color w:val="1e293b"/>
          <w:sz w:val="22"/>
          <w:szCs w:val="22"/>
        </w:rPr>
        <w:t xml:space="preserve">El archivo confidence JSON contiene el campo complex_plddt (valor 0-1) que se convierte a escala 0-100 para mostrarlo en la interfaz web.</w:t>
      </w:r>
    </w:p>
    <w:p/>
    <w:p>
      <w:pPr>
        <w:pStyle w:val="Heading2"/>
        <w:spacing w:before="280" w:after="80"/>
      </w:pPr>
      <w:r>
        <w:rPr>
          <w:rFonts w:ascii="Arial" w:cs="Arial" w:eastAsia="Arial" w:hAnsi="Arial"/>
          <w:b/>
          <w:bCs/>
          <w:color w:val="141418"/>
          <w:sz w:val="26"/>
          <w:szCs w:val="26"/>
        </w:rPr>
        <w:t xml:space="preserve">5.4 scan_boltz.py — Gestión del Manifest</w:t>
      </w:r>
    </w:p>
    <w:p>
      <w:pPr>
        <w:spacing w:before="60" w:after="80"/>
      </w:pPr>
      <w:r>
        <w:rPr>
          <w:rFonts w:ascii="Arial" w:cs="Arial" w:eastAsia="Arial" w:hAnsi="Arial"/>
          <w:color w:val="1e293b"/>
          <w:sz w:val="22"/>
          <w:szCs w:val="22"/>
        </w:rPr>
        <w:t xml:space="preserve">Este script escanea todos los directorios de salida y construye manifest_structures.json, que es el índice central que la app web usa para saber qué estructuras están disponibles:</w:t>
      </w:r>
    </w:p>
    <w:p>
      <w:pPr>
        <w:shd w:fill="F1F5F9" w:val="clear"/>
        <w:spacing w:before="40" w:after="40"/>
        <w:ind w:left="360" w:right="360"/>
      </w:pPr>
      <w:r>
        <w:rPr>
          <w:rFonts w:ascii="Courier New" w:cs="Courier New" w:eastAsia="Courier New" w:hAnsi="Courier New"/>
          <w:color w:val="1e3a5f"/>
          <w:sz w:val="18"/>
          <w:szCs w:val="18"/>
        </w:rPr>
        <w:t xml:space="preserve">glob.glob('data/structures/**/predictions/**/*.cif', recursive=True)</w:t>
      </w:r>
    </w:p>
    <w:p>
      <w:pPr>
        <w:spacing w:before="60" w:after="80"/>
      </w:pPr>
      <w:r>
        <w:rPr>
          <w:rFonts w:ascii="Arial" w:cs="Arial" w:eastAsia="Arial" w:hAnsi="Arial"/>
          <w:color w:val="1e293b"/>
          <w:sz w:val="22"/>
          <w:szCs w:val="22"/>
        </w:rPr>
        <w:t xml:space="preserve">Por cada archivo encontrado extrae el nombre de la variante, el path relativo y el pLDDT del JSON de confianza. Construye el manifest como:</w:t>
      </w:r>
    </w:p>
    <w:p>
      <w:pPr>
        <w:shd w:fill="F1F5F9" w:val="clear"/>
        <w:spacing w:before="40" w:after="40"/>
        <w:ind w:left="360" w:right="360"/>
      </w:pPr>
      <w:r>
        <w:rPr>
          <w:rFonts w:ascii="Courier New" w:cs="Courier New" w:eastAsia="Courier New" w:hAnsi="Courier New"/>
          <w:color w:val="1e3a5f"/>
          <w:sz w:val="18"/>
          <w:szCs w:val="18"/>
        </w:rPr>
        <w:t xml:space="preserve">{"PIK3CA_H1047R": "data/structures/boltz_results_PIK3CA_H1047R/...cif",</w:t>
      </w:r>
    </w:p>
    <w:p>
      <w:pPr>
        <w:shd w:fill="F1F5F9" w:val="clear"/>
        <w:spacing w:before="40" w:after="40"/>
        <w:ind w:left="360" w:right="360"/>
      </w:pPr>
      <w:r>
        <w:rPr>
          <w:rFonts w:ascii="Courier New" w:cs="Courier New" w:eastAsia="Courier New" w:hAnsi="Courier New"/>
          <w:color w:val="1e3a5f"/>
          <w:sz w:val="18"/>
          <w:szCs w:val="18"/>
        </w:rPr>
        <w:t xml:space="preserve"> "TP53_R248Q":    "data/structures/boltz_results_TP53_R248Q/...cif", ...}</w:t>
      </w:r>
    </w:p>
    <w:p>
      <w:pPr>
        <w:spacing w:before="60" w:after="80"/>
      </w:pPr>
      <w:r>
        <w:rPr>
          <w:rFonts w:ascii="Arial" w:cs="Arial" w:eastAsia="Arial" w:hAnsi="Arial"/>
          <w:color w:val="1e293b"/>
          <w:sz w:val="22"/>
          <w:szCs w:val="22"/>
        </w:rPr>
        <w:t xml:space="preserve">La app web de structural.js lee este manifest al inicializar para cargar las estructuras en PDBe Molstar.</w:t>
      </w:r>
    </w:p>
    <w:p/>
    <w:p>
      <w:r>
        <w:br w:type="page"/>
      </w:r>
    </w:p>
    <w:p>
      <w:pPr>
        <w:pStyle w:val="Heading1"/>
        <w:spacing w:before="360" w:after="120"/>
      </w:pPr>
      <w:r>
        <w:rPr>
          <w:rFonts w:ascii="Arial" w:cs="Arial" w:eastAsia="Arial" w:hAnsi="Arial"/>
          <w:b/>
          <w:bCs/>
          <w:color w:val="0D7377"/>
          <w:sz w:val="32"/>
          <w:szCs w:val="32"/>
        </w:rPr>
        <w:t xml:space="preserve">6. Módulo M4 — Docking Molecular con AutoDock Vina</w:t>
      </w:r>
    </w:p>
    <w:p>
      <w:pPr>
        <w:pStyle w:val="Heading2"/>
        <w:spacing w:before="280" w:after="80"/>
      </w:pPr>
      <w:r>
        <w:rPr>
          <w:rFonts w:ascii="Arial" w:cs="Arial" w:eastAsia="Arial" w:hAnsi="Arial"/>
          <w:b/>
          <w:bCs/>
          <w:color w:val="141418"/>
          <w:sz w:val="26"/>
          <w:szCs w:val="26"/>
        </w:rPr>
        <w:t xml:space="preserve">6.1 Descripción del Proceso</w:t>
      </w:r>
    </w:p>
    <w:p>
      <w:pPr>
        <w:spacing w:before="60" w:after="80"/>
      </w:pPr>
      <w:r>
        <w:rPr>
          <w:rFonts w:ascii="Arial" w:cs="Arial" w:eastAsia="Arial" w:hAnsi="Arial"/>
          <w:color w:val="1e293b"/>
          <w:sz w:val="22"/>
          <w:szCs w:val="22"/>
        </w:rPr>
        <w:t xml:space="preserve">El docking molecular simula la interacción física entre una proteína (receptor) y un fármaco (ligando) para predecir la pose de unión y calcular la energía libre de unión en kcal/mol. Valores más negativos indican mayor afinidad de unión.</w:t>
      </w:r>
    </w:p>
    <w:p>
      <w:pPr>
        <w:pStyle w:val="Heading2"/>
        <w:spacing w:before="280" w:after="80"/>
      </w:pPr>
      <w:r>
        <w:rPr>
          <w:rFonts w:ascii="Arial" w:cs="Arial" w:eastAsia="Arial" w:hAnsi="Arial"/>
          <w:b/>
          <w:bCs/>
          <w:color w:val="141418"/>
          <w:sz w:val="26"/>
          <w:szCs w:val="26"/>
        </w:rPr>
        <w:t xml:space="preserve">6.2 Catálogo de Fármacos</w:t>
      </w:r>
    </w:p>
    <w:p>
      <w:pPr>
        <w:spacing w:before="60" w:after="80"/>
      </w:pPr>
      <w:r>
        <w:rPr>
          <w:rFonts w:ascii="Arial" w:cs="Arial" w:eastAsia="Arial" w:hAnsi="Arial"/>
          <w:color w:val="1e293b"/>
          <w:sz w:val="22"/>
          <w:szCs w:val="22"/>
        </w:rPr>
        <w:t xml:space="preserve">Se evalúan 11 fármacos obtenidos de la base de datos ChEMBL, todos inhibidores de vías de señalización relevantes en cáncer de mama: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Fármaco</w:t>
            </w:r>
          </w:p>
        </w:tc>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ChEMBL ID</w:t>
            </w:r>
          </w:p>
        </w:tc>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Alpelisib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CHEMBL3301610</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PI3Kα</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Abemaciclib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CHEMBL3545110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CDK4/6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Palbociclib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CHEMBL1771552</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CDK4/6</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Ribociclib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CHEMBL3545283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CDK4/6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Capivasertib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CHEMBL3301612</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AKT1/2/3</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Everolimus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CHEMBL1560600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FDA aprobado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Gedatolisib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CHEMBL3188482</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PI3K/mTOR</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Ensayo clínico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Taselisib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CHEMBL3301609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PI3Kα</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Ensayo clínico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Pictilisib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CHEMBL2178688</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PI3K</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Ensayo clínico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Buparlisib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CHEMBL2180717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Pan-PI3K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Ensayo clínico</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Copanlisib</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CHEMBL3137587</w:t>
            </w:r>
          </w:p>
        </w:tc>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Pan-PI3K</w:t>
            </w:r>
          </w:p>
        </w:tc>
        <w:tc>
          <w:tcPr>
            <w:tcW w:type="dxa" w:w="2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FDA aprobado</w:t>
            </w:r>
          </w:p>
        </w:tc>
      </w:tr>
    </w:tbl>
    <w:p/>
    <w:p>
      <w:pPr>
        <w:pStyle w:val="Heading2"/>
        <w:spacing w:before="280" w:after="80"/>
      </w:pPr>
      <w:r>
        <w:rPr>
          <w:rFonts w:ascii="Arial" w:cs="Arial" w:eastAsia="Arial" w:hAnsi="Arial"/>
          <w:b/>
          <w:bCs/>
          <w:color w:val="141418"/>
          <w:sz w:val="26"/>
          <w:szCs w:val="26"/>
        </w:rPr>
        <w:t xml:space="preserve">6.3 Pipeline Paso a Paso — prepare_docking.py</w:t>
      </w:r>
    </w:p>
    <w:p>
      <w:pPr>
        <w:spacing w:before="200" w:after="60"/>
      </w:pPr>
      <w:r>
        <w:rPr>
          <w:rFonts w:ascii="Arial" w:cs="Arial" w:eastAsia="Arial" w:hAnsi="Arial"/>
          <w:b/>
          <w:bCs/>
          <w:color w:val="0D7377"/>
          <w:sz w:val="22"/>
          <w:szCs w:val="22"/>
        </w:rPr>
        <w:t xml:space="preserve">Paso 1 — Descarga de SDF desde ChEMBL</w:t>
      </w:r>
    </w:p>
    <w:p>
      <w:pPr>
        <w:spacing w:before="60" w:after="80"/>
      </w:pPr>
      <w:r>
        <w:rPr>
          <w:rFonts w:ascii="Arial" w:cs="Arial" w:eastAsia="Arial" w:hAnsi="Arial"/>
          <w:color w:val="1e293b"/>
          <w:sz w:val="22"/>
          <w:szCs w:val="22"/>
        </w:rPr>
        <w:t xml:space="preserve">Para cada fármaco en el catálogo se descarga el archivo SDF 2D desde la API de ChEMBL:</w:t>
      </w:r>
    </w:p>
    <w:p>
      <w:pPr>
        <w:shd w:fill="F1F5F9" w:val="clear"/>
        <w:spacing w:before="40" w:after="40"/>
        <w:ind w:left="360" w:right="360"/>
      </w:pPr>
      <w:r>
        <w:rPr>
          <w:rFonts w:ascii="Courier New" w:cs="Courier New" w:eastAsia="Courier New" w:hAnsi="Courier New"/>
          <w:color w:val="1e3a5f"/>
          <w:sz w:val="18"/>
          <w:szCs w:val="18"/>
        </w:rPr>
        <w:t xml:space="preserve">GET https://www.ebi.ac.uk/chembl/api/data/molecule/{chembl_id}.sdf</w:t>
      </w:r>
    </w:p>
    <w:p>
      <w:pPr>
        <w:spacing w:before="60" w:after="80"/>
      </w:pPr>
      <w:r>
        <w:rPr>
          <w:rFonts w:ascii="Arial" w:cs="Arial" w:eastAsia="Arial" w:hAnsi="Arial"/>
          <w:color w:val="1e293b"/>
          <w:sz w:val="22"/>
          <w:szCs w:val="22"/>
        </w:rPr>
        <w:t xml:space="preserve">El SDF contiene la estructura molecular en 2D con todas las propiedades del compuesto.</w:t>
      </w:r>
    </w:p>
    <w:p/>
    <w:p>
      <w:pPr>
        <w:spacing w:before="200" w:after="60"/>
      </w:pPr>
      <w:r>
        <w:rPr>
          <w:rFonts w:ascii="Arial" w:cs="Arial" w:eastAsia="Arial" w:hAnsi="Arial"/>
          <w:b/>
          <w:bCs/>
          <w:color w:val="0D7377"/>
          <w:sz w:val="22"/>
          <w:szCs w:val="22"/>
        </w:rPr>
        <w:t xml:space="preserve">Paso 2 — Conversión SDF → PDBQT (Ligando)</w:t>
      </w:r>
    </w:p>
    <w:p>
      <w:pPr>
        <w:spacing w:before="60" w:after="80"/>
      </w:pPr>
      <w:r>
        <w:rPr>
          <w:rFonts w:ascii="Arial" w:cs="Arial" w:eastAsia="Arial" w:hAnsi="Arial"/>
          <w:color w:val="1e293b"/>
          <w:sz w:val="22"/>
          <w:szCs w:val="22"/>
        </w:rPr>
        <w:t xml:space="preserve">Los archivos SDF 2D se convierten a formato PDBQT 3D usando la librería RDKit junto con Meeko:</w:t>
      </w:r>
    </w:p>
    <w:p>
      <w:pPr>
        <w:pStyle w:val="ListParagraph"/>
        <w:numPr>
          <w:ilvl w:val="0"/>
          <w:numId w:val="2"/>
        </w:numPr>
        <w:spacing w:before="40" w:after="40"/>
      </w:pPr>
      <w:r>
        <w:rPr>
          <w:rFonts w:ascii="Arial" w:cs="Arial" w:eastAsia="Arial" w:hAnsi="Arial"/>
          <w:color w:val="1e293b"/>
          <w:sz w:val="22"/>
          <w:szCs w:val="22"/>
        </w:rPr>
        <w:t xml:space="preserve">RDKit lee el SDF y selecciona el fragmento más grande (elimina contraiones y sales).</w:t>
      </w:r>
    </w:p>
    <w:p>
      <w:pPr>
        <w:pStyle w:val="ListParagraph"/>
        <w:numPr>
          <w:ilvl w:val="0"/>
          <w:numId w:val="2"/>
        </w:numPr>
        <w:spacing w:before="40" w:after="40"/>
      </w:pPr>
      <w:r>
        <w:rPr>
          <w:rFonts w:ascii="Arial" w:cs="Arial" w:eastAsia="Arial" w:hAnsi="Arial"/>
          <w:color w:val="1e293b"/>
          <w:sz w:val="22"/>
          <w:szCs w:val="22"/>
        </w:rPr>
        <w:t xml:space="preserve">AllChem.AddHs() agrega hidrógenos explícitos a la molécula.</w:t>
      </w:r>
    </w:p>
    <w:p>
      <w:pPr>
        <w:pStyle w:val="ListParagraph"/>
        <w:numPr>
          <w:ilvl w:val="0"/>
          <w:numId w:val="2"/>
        </w:numPr>
        <w:spacing w:before="40" w:after="40"/>
      </w:pPr>
      <w:r>
        <w:rPr>
          <w:rFonts w:ascii="Arial" w:cs="Arial" w:eastAsia="Arial" w:hAnsi="Arial"/>
          <w:color w:val="1e293b"/>
          <w:sz w:val="22"/>
          <w:szCs w:val="22"/>
        </w:rPr>
        <w:t xml:space="preserve">AllChem.EmbedMolecule(mol, ETKDG()) genera las coordenadas 3D usando el algoritmo ETKDG.</w:t>
      </w:r>
    </w:p>
    <w:p>
      <w:pPr>
        <w:pStyle w:val="ListParagraph"/>
        <w:numPr>
          <w:ilvl w:val="0"/>
          <w:numId w:val="2"/>
        </w:numPr>
        <w:spacing w:before="40" w:after="40"/>
      </w:pPr>
      <w:r>
        <w:rPr>
          <w:rFonts w:ascii="Arial" w:cs="Arial" w:eastAsia="Arial" w:hAnsi="Arial"/>
          <w:color w:val="1e293b"/>
          <w:sz w:val="22"/>
          <w:szCs w:val="22"/>
        </w:rPr>
        <w:t xml:space="preserve">AllChem.MMFFOptimizeMolecule(mol) optimiza la geometría con el campo de fuerzas MMFF.</w:t>
      </w:r>
    </w:p>
    <w:p>
      <w:pPr>
        <w:pStyle w:val="ListParagraph"/>
        <w:numPr>
          <w:ilvl w:val="0"/>
          <w:numId w:val="2"/>
        </w:numPr>
        <w:spacing w:before="40" w:after="40"/>
      </w:pPr>
      <w:r>
        <w:rPr>
          <w:rFonts w:ascii="Arial" w:cs="Arial" w:eastAsia="Arial" w:hAnsi="Arial"/>
          <w:color w:val="1e293b"/>
          <w:sz w:val="22"/>
          <w:szCs w:val="22"/>
        </w:rPr>
        <w:t xml:space="preserve">MoleculePreparation de Meeko agrega los tipos de átomo AutoDock4 (AD4), cargas parciales y gestiona las ramas rotables del ligando.</w:t>
      </w:r>
    </w:p>
    <w:p>
      <w:pPr>
        <w:pStyle w:val="ListParagraph"/>
        <w:numPr>
          <w:ilvl w:val="0"/>
          <w:numId w:val="2"/>
        </w:numPr>
        <w:spacing w:before="40" w:after="40"/>
      </w:pPr>
      <w:r>
        <w:rPr>
          <w:rFonts w:ascii="Arial" w:cs="Arial" w:eastAsia="Arial" w:hAnsi="Arial"/>
          <w:color w:val="1e293b"/>
          <w:sz w:val="22"/>
          <w:szCs w:val="22"/>
        </w:rPr>
        <w:t xml:space="preserve">El resultado se escribe como archivo .pdbqt, formato nativo de AutoDock Vina.</w:t>
      </w:r>
    </w:p>
    <w:p/>
    <w:p>
      <w:pPr>
        <w:spacing w:before="200" w:after="60"/>
      </w:pPr>
      <w:r>
        <w:rPr>
          <w:rFonts w:ascii="Arial" w:cs="Arial" w:eastAsia="Arial" w:hAnsi="Arial"/>
          <w:b/>
          <w:bCs/>
          <w:color w:val="0D7377"/>
          <w:sz w:val="22"/>
          <w:szCs w:val="22"/>
        </w:rPr>
        <w:t xml:space="preserve">Paso 3 — Preparación del Receptor PDBQT</w:t>
      </w:r>
    </w:p>
    <w:p>
      <w:pPr>
        <w:spacing w:before="60" w:after="80"/>
      </w:pPr>
      <w:r>
        <w:rPr>
          <w:rFonts w:ascii="Arial" w:cs="Arial" w:eastAsia="Arial" w:hAnsi="Arial"/>
          <w:color w:val="1e293b"/>
          <w:sz w:val="22"/>
          <w:szCs w:val="22"/>
        </w:rPr>
        <w:t xml:space="preserve">Los archivos CIF/PDB de las proteínas predichas se convierten a PDBQT para que Vina los procese como receptores rígidos:</w:t>
      </w:r>
    </w:p>
    <w:p>
      <w:pPr>
        <w:pStyle w:val="ListParagraph"/>
        <w:numPr>
          <w:ilvl w:val="0"/>
          <w:numId w:val="2"/>
        </w:numPr>
        <w:spacing w:before="40" w:after="40"/>
      </w:pPr>
      <w:r>
        <w:rPr>
          <w:rFonts w:ascii="Arial" w:cs="Arial" w:eastAsia="Arial" w:hAnsi="Arial"/>
          <w:color w:val="1e293b"/>
          <w:sz w:val="22"/>
          <w:szCs w:val="22"/>
        </w:rPr>
        <w:t xml:space="preserve">OpenBabel 3.1.1 limpia el PDB: elimina heteroátomos, agrega hidrógenos a pH 7.4 y produce un PDB estándar.</w:t>
      </w:r>
    </w:p>
    <w:p>
      <w:pPr>
        <w:pStyle w:val="ListParagraph"/>
        <w:numPr>
          <w:ilvl w:val="0"/>
          <w:numId w:val="2"/>
        </w:numPr>
        <w:spacing w:before="40" w:after="40"/>
      </w:pPr>
      <w:r>
        <w:rPr>
          <w:rFonts w:ascii="Arial" w:cs="Arial" w:eastAsia="Arial" w:hAnsi="Arial"/>
          <w:color w:val="1e293b"/>
          <w:sz w:val="22"/>
          <w:szCs w:val="22"/>
        </w:rPr>
        <w:t xml:space="preserve">La función pdb_to_pdbqt_simple() realiza una conversión 'quirúrgica' leyendo cada línea ATOM/HETATM y construyendo el PDBQT con el formato exacto de columnas que Vina requiere.</w:t>
      </w:r>
    </w:p>
    <w:p>
      <w:pPr>
        <w:pStyle w:val="ListParagraph"/>
        <w:numPr>
          <w:ilvl w:val="0"/>
          <w:numId w:val="2"/>
        </w:numPr>
        <w:spacing w:before="40" w:after="40"/>
      </w:pPr>
      <w:r>
        <w:rPr>
          <w:rFonts w:ascii="Arial" w:cs="Arial" w:eastAsia="Arial" w:hAnsi="Arial"/>
          <w:color w:val="1e293b"/>
          <w:sz w:val="22"/>
          <w:szCs w:val="22"/>
        </w:rPr>
        <w:t xml:space="preserve">Para cada átomo se asigna el tipo AutoDock4 (AD4 type) basado en el símbolo del elemento: H→HD, N→NA, O→OA, etc.</w:t>
      </w:r>
    </w:p>
    <w:p/>
    <w:p>
      <w:pPr>
        <w:spacing w:before="200" w:after="60"/>
      </w:pPr>
      <w:r>
        <w:rPr>
          <w:rFonts w:ascii="Arial" w:cs="Arial" w:eastAsia="Arial" w:hAnsi="Arial"/>
          <w:b/>
          <w:bCs/>
          <w:color w:val="0D7377"/>
          <w:sz w:val="22"/>
          <w:szCs w:val="22"/>
        </w:rPr>
        <w:t xml:space="preserve">Paso 4 — Cálculo del Centro del Sitio Activo</w:t>
      </w:r>
    </w:p>
    <w:p>
      <w:pPr>
        <w:spacing w:before="60" w:after="80"/>
      </w:pPr>
      <w:r>
        <w:rPr>
          <w:rFonts w:ascii="Arial" w:cs="Arial" w:eastAsia="Arial" w:hAnsi="Arial"/>
          <w:color w:val="1e293b"/>
          <w:sz w:val="22"/>
          <w:szCs w:val="22"/>
        </w:rPr>
        <w:t xml:space="preserve">En lugar de centrar la caja de búsqueda en el centro de masa global de la proteína (que podría estar lejos del sitio activo), el pipeline localiza específicamente el residuo mutado:</w:t>
      </w:r>
    </w:p>
    <w:p>
      <w:pPr>
        <w:shd w:fill="F1F5F9" w:val="clear"/>
        <w:spacing w:before="40" w:after="40"/>
        <w:ind w:left="360" w:right="360"/>
      </w:pPr>
      <w:r>
        <w:rPr>
          <w:rFonts w:ascii="Courier New" w:cs="Courier New" w:eastAsia="Courier New" w:hAnsi="Courier New"/>
          <w:color w:val="1e3a5f"/>
          <w:sz w:val="18"/>
          <w:szCs w:val="18"/>
        </w:rPr>
        <w:t xml:space="preserve">def get_mutation_center(pdb_path, variant_id):</w:t>
      </w:r>
    </w:p>
    <w:p>
      <w:pPr>
        <w:shd w:fill="F1F5F9" w:val="clear"/>
        <w:spacing w:before="40" w:after="40"/>
        <w:ind w:left="360" w:right="360"/>
      </w:pPr>
      <w:r>
        <w:rPr>
          <w:rFonts w:ascii="Courier New" w:cs="Courier New" w:eastAsia="Courier New" w:hAnsi="Courier New"/>
          <w:color w:val="1e3a5f"/>
          <w:sz w:val="18"/>
          <w:szCs w:val="18"/>
        </w:rPr>
        <w:t xml:space="preserve">    # Extrae posición del ID: PIK3CA_H1047R -&gt; 1047</w:t>
      </w:r>
    </w:p>
    <w:p>
      <w:pPr>
        <w:shd w:fill="F1F5F9" w:val="clear"/>
        <w:spacing w:before="40" w:after="40"/>
        <w:ind w:left="360" w:right="360"/>
      </w:pPr>
      <w:r>
        <w:rPr>
          <w:rFonts w:ascii="Courier New" w:cs="Courier New" w:eastAsia="Courier New" w:hAnsi="Courier New"/>
          <w:color w:val="1e3a5f"/>
          <w:sz w:val="18"/>
          <w:szCs w:val="18"/>
        </w:rPr>
        <w:t xml:space="preserve">    # Promedia coordenadas XYZ de todos los átomos de ese residuo</w:t>
      </w:r>
    </w:p>
    <w:p>
      <w:pPr>
        <w:shd w:fill="F1F5F9" w:val="clear"/>
        <w:spacing w:before="40" w:after="40"/>
        <w:ind w:left="360" w:right="360"/>
      </w:pPr>
      <w:r>
        <w:rPr>
          <w:rFonts w:ascii="Courier New" w:cs="Courier New" w:eastAsia="Courier New" w:hAnsi="Courier New"/>
          <w:color w:val="1e3a5f"/>
          <w:sz w:val="18"/>
          <w:szCs w:val="18"/>
        </w:rPr>
        <w:t xml:space="preserve">    # Retorna (cx, cy, cz) como centro de la caja de búsqueda</w:t>
      </w:r>
    </w:p>
    <w:p>
      <w:pPr>
        <w:spacing w:before="60" w:after="80"/>
      </w:pPr>
      <w:r>
        <w:rPr>
          <w:rFonts w:ascii="Arial" w:cs="Arial" w:eastAsia="Arial" w:hAnsi="Arial"/>
          <w:color w:val="1e293b"/>
          <w:sz w:val="22"/>
          <w:szCs w:val="22"/>
        </w:rPr>
        <w:t xml:space="preserve">Esto concentra el docking en el sitio de la mutación, que es donde los cambios conformacionales son más relevantes para la afinidad del fármaco.</w:t>
      </w:r>
    </w:p>
    <w:p/>
    <w:p>
      <w:pPr>
        <w:spacing w:before="200" w:after="60"/>
      </w:pPr>
      <w:r>
        <w:rPr>
          <w:rFonts w:ascii="Arial" w:cs="Arial" w:eastAsia="Arial" w:hAnsi="Arial"/>
          <w:b/>
          <w:bCs/>
          <w:color w:val="0D7377"/>
          <w:sz w:val="22"/>
          <w:szCs w:val="22"/>
        </w:rPr>
        <w:t xml:space="preserve">Paso 5 — Ejecución de AutoDock Vina 1.2.3</w:t>
      </w:r>
    </w:p>
    <w:p>
      <w:pPr>
        <w:spacing w:before="60" w:after="80"/>
      </w:pPr>
      <w:r>
        <w:rPr>
          <w:rFonts w:ascii="Arial" w:cs="Arial" w:eastAsia="Arial" w:hAnsi="Arial"/>
          <w:color w:val="1e293b"/>
          <w:sz w:val="22"/>
          <w:szCs w:val="22"/>
        </w:rPr>
        <w:t xml:space="preserve">Para cada par receptor-ligando se ejecuta Vina con los siguientes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45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--exhaustiveness</w:t>
            </w:r>
          </w:p>
        </w:tc>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Nivel de exploración del espacio conformacional. 8 es el valor estándar de producción.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--num_modes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Número de poses de unión a generar por par.</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--size_x/y/z</w:t>
            </w:r>
          </w:p>
        </w:tc>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25 Å</w:t>
            </w:r>
          </w:p>
        </w:tc>
        <w:tc>
          <w:tcPr>
            <w:tcW w:type="dxa" w:w="4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Dimensiones de la caja de búsqueda centrada en el sitio de mutación.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{variante}_{fármaco}_out.pdbqt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Archivo PDBQT con las 5 mejores poses de unión.</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--log</w:t>
            </w:r>
          </w:p>
        </w:tc>
        <w:tc>
          <w:tcPr>
            <w:tcW w:type="dxa" w:w="20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{variante}_{fármaco}_log.txt</w:t>
            </w:r>
          </w:p>
        </w:tc>
        <w:tc>
          <w:tcPr>
            <w:tcW w:type="dxa" w:w="4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Log con tabla de afinidades para todas las poses.</w:t>
            </w:r>
          </w:p>
        </w:tc>
      </w:tr>
    </w:tbl>
    <w:p/>
    <w:p>
      <w:pPr>
        <w:spacing w:before="200" w:after="60"/>
      </w:pPr>
      <w:r>
        <w:rPr>
          <w:rFonts w:ascii="Arial" w:cs="Arial" w:eastAsia="Arial" w:hAnsi="Arial"/>
          <w:b/>
          <w:bCs/>
          <w:color w:val="0D7377"/>
          <w:sz w:val="22"/>
          <w:szCs w:val="22"/>
        </w:rPr>
        <w:t xml:space="preserve">Paso 6 — Parseo de Resultados</w:t>
      </w:r>
    </w:p>
    <w:p>
      <w:pPr>
        <w:spacing w:before="60" w:after="80"/>
      </w:pPr>
      <w:r>
        <w:rPr>
          <w:rFonts w:ascii="Arial" w:cs="Arial" w:eastAsia="Arial" w:hAnsi="Arial"/>
          <w:color w:val="1e293b"/>
          <w:sz w:val="22"/>
          <w:szCs w:val="22"/>
        </w:rPr>
        <w:t xml:space="preserve">La función parse_affinity() extrae el mejor score (pose 1) del log de Vina usando expresiones regulares robustas que soportan tanto el formato de Vina 1.1.x como 1.2.x:</w:t>
      </w:r>
    </w:p>
    <w:p>
      <w:pPr>
        <w:shd w:fill="F1F5F9" w:val="clear"/>
        <w:spacing w:before="40" w:after="40"/>
        <w:ind w:left="360" w:right="360"/>
      </w:pPr>
      <w:r>
        <w:rPr>
          <w:rFonts w:ascii="Courier New" w:cs="Courier New" w:eastAsia="Courier New" w:hAnsi="Courier New"/>
          <w:color w:val="1e3a5f"/>
          <w:sz w:val="18"/>
          <w:szCs w:val="18"/>
        </w:rPr>
        <w:t xml:space="preserve"># Vina 1.2.x: '   1       -8.903       0.000       0.000'</w:t>
      </w:r>
    </w:p>
    <w:p>
      <w:pPr>
        <w:shd w:fill="F1F5F9" w:val="clear"/>
        <w:spacing w:before="40" w:after="40"/>
        <w:ind w:left="360" w:right="360"/>
      </w:pPr>
      <w:r>
        <w:rPr>
          <w:rFonts w:ascii="Courier New" w:cs="Courier New" w:eastAsia="Courier New" w:hAnsi="Courier New"/>
          <w:color w:val="1e3a5f"/>
          <w:sz w:val="18"/>
          <w:szCs w:val="18"/>
        </w:rPr>
        <w:t xml:space="preserve">re.search(r'^\s*1\s+([-+]?\d+\.\d+)', content, re.MULTILINE)</w:t>
      </w:r>
    </w:p>
    <w:p>
      <w:pPr>
        <w:spacing w:before="60" w:after="80"/>
      </w:pPr>
      <w:r>
        <w:rPr>
          <w:rFonts w:ascii="Arial" w:cs="Arial" w:eastAsia="Arial" w:hAnsi="Arial"/>
          <w:color w:val="1e293b"/>
          <w:sz w:val="22"/>
          <w:szCs w:val="22"/>
        </w:rPr>
        <w:t xml:space="preserve">El resultado es un diccionario anidado de afinidades: { variante: { fármaco: kcal/mol } } guardado en vina_affinities.json.</w:t>
      </w:r>
    </w:p>
    <w:p/>
    <w:p>
      <w:pPr>
        <w:spacing w:before="200" w:after="60"/>
      </w:pPr>
      <w:r>
        <w:rPr>
          <w:rFonts w:ascii="Arial" w:cs="Arial" w:eastAsia="Arial" w:hAnsi="Arial"/>
          <w:b/>
          <w:bCs/>
          <w:color w:val="0D7377"/>
          <w:sz w:val="22"/>
          <w:szCs w:val="22"/>
        </w:rPr>
        <w:t xml:space="preserve">Paso 7 — Actualización de Métricas</w:t>
      </w:r>
    </w:p>
    <w:p>
      <w:pPr>
        <w:spacing w:before="60" w:after="80"/>
      </w:pPr>
      <w:r>
        <w:rPr>
          <w:rFonts w:ascii="Arial" w:cs="Arial" w:eastAsia="Arial" w:hAnsi="Arial"/>
          <w:color w:val="1e293b"/>
          <w:sz w:val="22"/>
          <w:szCs w:val="22"/>
        </w:rPr>
        <w:t xml:space="preserve">Los scores reales de Vina se integran en structural_metrics.json, que ya contiene los datos estructurales (pLDDT, RMSD). Para cada variante se añade:</w:t>
      </w:r>
    </w:p>
    <w:p>
      <w:pPr>
        <w:pStyle w:val="ListParagraph"/>
        <w:numPr>
          <w:ilvl w:val="0"/>
          <w:numId w:val="2"/>
        </w:numPr>
        <w:spacing w:before="40" w:after="40"/>
      </w:pPr>
      <w:r>
        <w:rPr>
          <w:rFonts w:ascii="Arial" w:cs="Arial" w:eastAsia="Arial" w:hAnsi="Arial"/>
          <w:color w:val="1e293b"/>
          <w:sz w:val="22"/>
          <w:szCs w:val="22"/>
        </w:rPr>
        <w:t xml:space="preserve">best_vina_drug: nombre del fármaco con mayor afinidad (score más negativo)</w:t>
      </w:r>
    </w:p>
    <w:p>
      <w:pPr>
        <w:pStyle w:val="ListParagraph"/>
        <w:numPr>
          <w:ilvl w:val="0"/>
          <w:numId w:val="2"/>
        </w:numPr>
        <w:spacing w:before="40" w:after="40"/>
      </w:pPr>
      <w:r>
        <w:rPr>
          <w:rFonts w:ascii="Arial" w:cs="Arial" w:eastAsia="Arial" w:hAnsi="Arial"/>
          <w:color w:val="1e293b"/>
          <w:sz w:val="22"/>
          <w:szCs w:val="22"/>
        </w:rPr>
        <w:t xml:space="preserve">best_vina_score: valor en kcal/mol</w:t>
      </w:r>
    </w:p>
    <w:p>
      <w:pPr>
        <w:pStyle w:val="ListParagraph"/>
        <w:numPr>
          <w:ilvl w:val="0"/>
          <w:numId w:val="2"/>
        </w:numPr>
        <w:spacing w:before="40" w:after="40"/>
      </w:pPr>
      <w:r>
        <w:rPr>
          <w:rFonts w:ascii="Arial" w:cs="Arial" w:eastAsia="Arial" w:hAnsi="Arial"/>
          <w:color w:val="1e293b"/>
          <w:sz w:val="22"/>
          <w:szCs w:val="22"/>
        </w:rPr>
        <w:t xml:space="preserve">vina_scores: diccionario completo { fármaco: score } para generar rankings en la app</w:t>
      </w:r>
    </w:p>
    <w:p/>
    <w:p>
      <w:r>
        <w:br w:type="page"/>
      </w:r>
    </w:p>
    <w:p>
      <w:pPr>
        <w:pStyle w:val="Heading1"/>
        <w:spacing w:before="360" w:after="120"/>
      </w:pPr>
      <w:r>
        <w:rPr>
          <w:rFonts w:ascii="Arial" w:cs="Arial" w:eastAsia="Arial" w:hAnsi="Arial"/>
          <w:b/>
          <w:bCs/>
          <w:color w:val="0D7377"/>
          <w:sz w:val="32"/>
          <w:szCs w:val="32"/>
        </w:rPr>
        <w:t xml:space="preserve">7. Notebook de Jupyter — 01_tcga_exploration.ipynb</w:t>
      </w:r>
    </w:p>
    <w:p>
      <w:pPr>
        <w:pStyle w:val="Heading2"/>
        <w:spacing w:before="280" w:after="80"/>
      </w:pPr>
      <w:r>
        <w:rPr>
          <w:rFonts w:ascii="Arial" w:cs="Arial" w:eastAsia="Arial" w:hAnsi="Arial"/>
          <w:b/>
          <w:bCs/>
          <w:color w:val="141418"/>
          <w:sz w:val="26"/>
          <w:szCs w:val="26"/>
        </w:rPr>
        <w:t xml:space="preserve">7.1 Propósito</w:t>
      </w:r>
    </w:p>
    <w:p>
      <w:pPr>
        <w:spacing w:before="60" w:after="80"/>
      </w:pPr>
      <w:r>
        <w:rPr>
          <w:rFonts w:ascii="Arial" w:cs="Arial" w:eastAsia="Arial" w:hAnsi="Arial"/>
          <w:color w:val="1e293b"/>
          <w:sz w:val="22"/>
          <w:szCs w:val="22"/>
        </w:rPr>
        <w:t xml:space="preserve">El notebook es el orquestador de toda la fase científica computacionalmente intensiva. Está diseñado para ejecutarse en Google Colab con GPU T4 gratuita y persistencia en Google Drive. Es la única parte del pipeline que requiere GPU.</w:t>
      </w:r>
    </w:p>
    <w:p>
      <w:pPr>
        <w:pStyle w:val="Heading2"/>
        <w:spacing w:before="280" w:after="80"/>
      </w:pPr>
      <w:r>
        <w:rPr>
          <w:rFonts w:ascii="Arial" w:cs="Arial" w:eastAsia="Arial" w:hAnsi="Arial"/>
          <w:b/>
          <w:bCs/>
          <w:color w:val="141418"/>
          <w:sz w:val="26"/>
          <w:szCs w:val="26"/>
        </w:rPr>
        <w:t xml:space="preserve">7.2 Estructura del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Celda</w:t>
            </w:r>
          </w:p>
        </w:tc>
        <w:tc>
          <w:tcPr>
            <w:tcW w:type="dxa" w:w="69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Celda 0 — Setup</w:t>
            </w:r>
          </w:p>
        </w:tc>
        <w:tc>
          <w:tcPr>
            <w:tcW w:type="dxa" w:w="6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Instala dependencias con versiones fijas (numpy 1.26.4, pandas 2.2.2, pytorch-lightning 2.1.4, boltz). Monta Google Drive y crea symlinks. Debe ejecutarse primero y requiere reinicio de entorno.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Celda 0b — Reconexión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Restaura los symlinks y verifica versiones tras cualquier reinicio de Colab. Se ejecuta siempre al volver a abrir la sesión.</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Celdas 1-2 — Ingesta GDC</w:t>
            </w:r>
          </w:p>
        </w:tc>
        <w:tc>
          <w:tcPr>
            <w:tcW w:type="dxa" w:w="6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Implementa la descarga directa vía GDC API (alternativa a cBioPortal). Construye los filtros JSON, pagina las descargas y exporta los mismos archivos raw_mutations.json y top_variants.json.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Celdas 3-4 — FASTA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Llama a UniProt REST API para cada variante del Top-20, aplica mutaciones puntuales con Biopython y guarda los archivos .fasta en Drive/GEMAMX/data/fasta/.</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Celda 5 — Boltz-1</w:t>
            </w:r>
          </w:p>
        </w:tc>
        <w:tc>
          <w:tcPr>
            <w:tcW w:type="dxa" w:w="6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Ejecuta boltz predict sobre cada archivo FASTA. Itera el Top-20 de variantes. Genera las carpetas boltz_results_{variante}/ con archivos CIF y JSON de confianza.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Celda 6.7 — Docking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Instalada dinámicamente por inject_vina.py. Instala autodock-vina vía apt-get, define rutas de ligandos y receptores, itera todos los pares y guarda vina_affinities.json. Versión simplificada del pipeline para entorno Linux de Colab.</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Celda Final — Exportación</w:t>
            </w:r>
          </w:p>
        </w:tc>
        <w:tc>
          <w:tcPr>
            <w:tcW w:type="dxa" w:w="69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Comprime todo el directorio data/ en gemamx_data.zip para descarga. El usuario lo descomprime en D:/ProyectosIA/GEMAMX/data/ para sincronizar la app web local.</w:t>
            </w:r>
          </w:p>
        </w:tc>
      </w:tr>
    </w:tbl>
    <w:p/>
    <w:p>
      <w:pPr>
        <w:pStyle w:val="Heading2"/>
        <w:spacing w:before="280" w:after="80"/>
      </w:pPr>
      <w:r>
        <w:rPr>
          <w:rFonts w:ascii="Arial" w:cs="Arial" w:eastAsia="Arial" w:hAnsi="Arial"/>
          <w:b/>
          <w:bCs/>
          <w:color w:val="141418"/>
          <w:sz w:val="26"/>
          <w:szCs w:val="26"/>
        </w:rPr>
        <w:t xml:space="preserve">7.3 inject_vina.py — Inserción Dinámica de Celdas</w:t>
      </w:r>
    </w:p>
    <w:p>
      <w:pPr>
        <w:spacing w:before="60" w:after="80"/>
      </w:pPr>
      <w:r>
        <w:rPr>
          <w:rFonts w:ascii="Arial" w:cs="Arial" w:eastAsia="Arial" w:hAnsi="Arial"/>
          <w:color w:val="1e293b"/>
          <w:sz w:val="22"/>
          <w:szCs w:val="22"/>
        </w:rPr>
        <w:t xml:space="preserve">Este script utilitario inserta programáticamente el módulo de docking en el notebook sin necesidad de editarlo manualmente. Carga el JSON del notebook, busca el punto de inserción por contenido de celda markdown (buscando '7. Exportación') e inserta una celda markdown y una celda de código antes de ese punto.</w:t>
      </w:r>
    </w:p>
    <w:p>
      <w:pPr>
        <w:spacing w:before="60" w:after="80"/>
      </w:pPr>
      <w:r>
        <w:rPr>
          <w:rFonts w:ascii="Arial" w:cs="Arial" w:eastAsia="Arial" w:hAnsi="Arial"/>
          <w:color w:val="1e293b"/>
          <w:sz w:val="22"/>
          <w:szCs w:val="22"/>
        </w:rPr>
        <w:t xml:space="preserve">Esto permite mantener el notebook base limpio y agregar módulos computacionales complejos de forma controlada por versiones.</w:t>
      </w:r>
    </w:p>
    <w:p/>
    <w:p>
      <w:r>
        <w:br w:type="page"/>
      </w:r>
    </w:p>
    <w:p>
      <w:pPr>
        <w:pStyle w:val="Heading1"/>
        <w:spacing w:before="360" w:after="120"/>
      </w:pPr>
      <w:r>
        <w:rPr>
          <w:rFonts w:ascii="Arial" w:cs="Arial" w:eastAsia="Arial" w:hAnsi="Arial"/>
          <w:b/>
          <w:bCs/>
          <w:color w:val="0D7377"/>
          <w:sz w:val="32"/>
          <w:szCs w:val="32"/>
        </w:rPr>
        <w:t xml:space="preserve">8. Aplicación Web — Visualización y Análisis</w:t>
      </w:r>
    </w:p>
    <w:p>
      <w:pPr>
        <w:pStyle w:val="Heading2"/>
        <w:spacing w:before="280" w:after="80"/>
      </w:pPr>
      <w:r>
        <w:rPr>
          <w:rFonts w:ascii="Arial" w:cs="Arial" w:eastAsia="Arial" w:hAnsi="Arial"/>
          <w:b/>
          <w:bCs/>
          <w:color w:val="141418"/>
          <w:sz w:val="26"/>
          <w:szCs w:val="26"/>
        </w:rPr>
        <w:t xml:space="preserve">8.1 Arquitectura Frontend</w:t>
      </w:r>
    </w:p>
    <w:p>
      <w:pPr>
        <w:spacing w:before="60" w:after="80"/>
      </w:pPr>
      <w:r>
        <w:rPr>
          <w:rFonts w:ascii="Arial" w:cs="Arial" w:eastAsia="Arial" w:hAnsi="Arial"/>
          <w:color w:val="1e293b"/>
          <w:sz w:val="22"/>
          <w:szCs w:val="22"/>
        </w:rPr>
        <w:t xml:space="preserve">La app web es completamente estática. No requiere servidor, backend, ni base de datos en tiempo de ejecución. Todo el estado de la aplicación se carga desde archivos JSON locales via fetch() del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7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app.js</w:t>
            </w:r>
          </w:p>
        </w:tc>
        <w:tc>
          <w:tcPr>
            <w:tcW w:type="dxa" w:w="7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Navegación SPA: gestiona qué sección está activa (data-view), carga datos al cambiar de vista, filtros en tiempo real de variantes y dataset base, paginación de raw_mutations.json.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Inicializa el Dashboard cargando top_variants.json, structural_metrics.json y manifest_structures.json en paralelo. Calcula KPIs: total variantes, hotspot #1, estructuras disponibles, mejor afinidad Vina.</w:t>
            </w:r>
          </w:p>
        </w:tc>
      </w:tr>
      <w:tr>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analysis.js</w:t>
            </w:r>
          </w:p>
        </w:tc>
        <w:tc>
          <w:tcPr>
            <w:tcW w:type="dxa" w:w="7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Genera las gráficas de Plotly.js: distribución de frecuencia por gen (Top-20) y distribución de tipos de variante, usando mutation_stats.json.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structural.js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Gestiona los dos visores PDBe Molstar (WT y MUT). Carga estructuras CIF/PDB desde manifest. Implementa: cambio de representación (cartoon/surface/ball-stick), modo científico (coloreado pLDDT), superposición WT/MUT, linked camera sync, RMSD por región.</w:t>
            </w:r>
          </w:p>
        </w:tc>
      </w:tr>
      <w:tr>
        <w:tc>
          <w:tcPr>
            <w:tcW w:type="dxa" w:w="22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docking.js</w:t>
            </w:r>
          </w:p>
        </w:tc>
        <w:tc>
          <w:tcPr>
            <w:tcW w:type="dxa" w:w="7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Muestra el ranking de fármacos con scores Vina reales, identifica candidatos repositionables (Δ ≤ -0.5 kcal/mol vs WT), carga la pose de docking ganadora en Molstar.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report.js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 el reporte integrado por variante: perfil genómico, métricas estructurales, tabla ordenable de fármacos, gráficas comparativas WT vs MUT, síntesis diagnóstica.</w:t>
            </w:r>
          </w:p>
        </w:tc>
      </w:tr>
    </w:tbl>
    <w:p/>
    <w:p>
      <w:pPr>
        <w:pStyle w:val="Heading2"/>
        <w:spacing w:before="280" w:after="80"/>
      </w:pPr>
      <w:r>
        <w:rPr>
          <w:rFonts w:ascii="Arial" w:cs="Arial" w:eastAsia="Arial" w:hAnsi="Arial"/>
          <w:b/>
          <w:bCs/>
          <w:color w:val="141418"/>
          <w:sz w:val="26"/>
          <w:szCs w:val="26"/>
        </w:rPr>
        <w:t xml:space="preserve">8.2 Visualizador 3D — PDBe Molstar</w:t>
      </w:r>
    </w:p>
    <w:p>
      <w:pPr>
        <w:spacing w:before="60" w:after="80"/>
      </w:pPr>
      <w:r>
        <w:rPr>
          <w:rFonts w:ascii="Arial" w:cs="Arial" w:eastAsia="Arial" w:hAnsi="Arial"/>
          <w:color w:val="1e293b"/>
          <w:sz w:val="22"/>
          <w:szCs w:val="22"/>
        </w:rPr>
        <w:t xml:space="preserve">La visualización molecular 3D usa PDBe Molstar v3.2, una librería de renderizado WebGL de alta calidad desarrollada por el European Bioinformatics Institute (EMBL-EBI). Se integra como plugin JavaScript:</w:t>
      </w:r>
    </w:p>
    <w:p>
      <w:pPr>
        <w:shd w:fill="F1F5F9" w:val="clear"/>
        <w:spacing w:before="40" w:after="40"/>
        <w:ind w:left="360" w:right="360"/>
      </w:pPr>
      <w:r>
        <w:rPr>
          <w:rFonts w:ascii="Courier New" w:cs="Courier New" w:eastAsia="Courier New" w:hAnsi="Courier New"/>
          <w:color w:val="1e3a5f"/>
          <w:sz w:val="18"/>
          <w:szCs w:val="18"/>
        </w:rPr>
        <w:t xml:space="preserve">&lt;script src="https://cdn.jsdelivr.net/npm/pdbe-molstar@3.2.0/build/pdbe-molstar-plugin.js"&gt;&lt;/script&gt;</w:t>
      </w:r>
    </w:p>
    <w:p>
      <w:pPr>
        <w:spacing w:before="60" w:after="80"/>
      </w:pPr>
      <w:r>
        <w:rPr>
          <w:rFonts w:ascii="Arial" w:cs="Arial" w:eastAsia="Arial" w:hAnsi="Arial"/>
          <w:color w:val="1e293b"/>
          <w:sz w:val="22"/>
          <w:szCs w:val="22"/>
        </w:rPr>
        <w:t xml:space="preserve">Los dos visores (WT y MUT) se inicializan con una estructura de referencia (CBFB_WT.cif) y luego se actualizan con visual.update() al seleccionar una variante. El pipeline de uso es:</w:t>
      </w:r>
    </w:p>
    <w:p>
      <w:pPr>
        <w:pStyle w:val="ListParagraph"/>
        <w:numPr>
          <w:ilvl w:val="0"/>
          <w:numId w:val="2"/>
        </w:numPr>
        <w:spacing w:before="40" w:after="40"/>
      </w:pPr>
      <w:r>
        <w:rPr>
          <w:rFonts w:ascii="Arial" w:cs="Arial" w:eastAsia="Arial" w:hAnsi="Arial"/>
          <w:color w:val="1e293b"/>
          <w:sz w:val="22"/>
          <w:szCs w:val="22"/>
        </w:rPr>
        <w:t xml:space="preserve">new PDBeMolstarPlugin() crea la instancia del visor</w:t>
      </w:r>
    </w:p>
    <w:p>
      <w:pPr>
        <w:pStyle w:val="ListParagraph"/>
        <w:numPr>
          <w:ilvl w:val="0"/>
          <w:numId w:val="2"/>
        </w:numPr>
        <w:spacing w:before="40" w:after="40"/>
      </w:pPr>
      <w:r>
        <w:rPr>
          <w:rFonts w:ascii="Arial" w:cs="Arial" w:eastAsia="Arial" w:hAnsi="Arial"/>
          <w:color w:val="1e293b"/>
          <w:sz w:val="22"/>
          <w:szCs w:val="22"/>
        </w:rPr>
        <w:t xml:space="preserve">plugin.render(containerElement, config) inicializa el canvas WebGL</w:t>
      </w:r>
    </w:p>
    <w:p>
      <w:pPr>
        <w:pStyle w:val="ListParagraph"/>
        <w:numPr>
          <w:ilvl w:val="0"/>
          <w:numId w:val="2"/>
        </w:numPr>
        <w:spacing w:before="40" w:after="40"/>
      </w:pPr>
      <w:r>
        <w:rPr>
          <w:rFonts w:ascii="Arial" w:cs="Arial" w:eastAsia="Arial" w:hAnsi="Arial"/>
          <w:color w:val="1e293b"/>
          <w:sz w:val="22"/>
          <w:szCs w:val="22"/>
        </w:rPr>
        <w:t xml:space="preserve">plugin.visual.update({ customData: { url, format } }) carga nuevas estructuras</w:t>
      </w:r>
    </w:p>
    <w:p>
      <w:pPr>
        <w:pStyle w:val="ListParagraph"/>
        <w:numPr>
          <w:ilvl w:val="0"/>
          <w:numId w:val="2"/>
        </w:numPr>
        <w:spacing w:before="40" w:after="40"/>
      </w:pPr>
      <w:r>
        <w:rPr>
          <w:rFonts w:ascii="Arial" w:cs="Arial" w:eastAsia="Arial" w:hAnsi="Arial"/>
          <w:color w:val="1e293b"/>
          <w:sz w:val="22"/>
          <w:szCs w:val="22"/>
        </w:rPr>
        <w:t xml:space="preserve">plugin.visual.select({ data: [{ residue_number, color, focus }] }) resalta el sitio de mutación</w:t>
      </w:r>
    </w:p>
    <w:p/>
    <w:p>
      <w:pPr>
        <w:pStyle w:val="Heading2"/>
        <w:spacing w:before="280" w:after="80"/>
      </w:pPr>
      <w:r>
        <w:rPr>
          <w:rFonts w:ascii="Arial" w:cs="Arial" w:eastAsia="Arial" w:hAnsi="Arial"/>
          <w:b/>
          <w:bCs/>
          <w:color w:val="141418"/>
          <w:sz w:val="26"/>
          <w:szCs w:val="26"/>
        </w:rPr>
        <w:t xml:space="preserve">8.3 Rebuild y Herramientas de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7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6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rebuild_stats.py</w:t>
            </w:r>
          </w:p>
        </w:tc>
        <w:tc>
          <w:tcPr>
            <w:tcW w:type="dxa" w:w="67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Regenera mutation_stats.json desde raw_mutations.json. Recalcula distribuciones de genes y tipos de variante cuando el archivo generado en Colab difiere del local.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scan_boltz.py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Escanea todas las carpetas boltz_results_* y actualiza manifest_structures.json con los CIF disponibles, sus paths y scores pLDDT.</w:t>
            </w:r>
          </w:p>
        </w:tc>
      </w:tr>
      <w:tr>
        <w:tc>
          <w:tcPr>
            <w:tcW w:type="dxa" w:w="26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run_docking.py</w:t>
            </w:r>
          </w:p>
        </w:tc>
        <w:tc>
          <w:tcPr>
            <w:tcW w:type="dxa" w:w="67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Versión de re-ejecución limpia del docking con diagnóstico. Detecta automáticamente el ejecutable de Vina disponible, verifica receptores y ligandos, y actualiza los resultados parciales.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inject_vina.py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Inserta dinámicamente la celda de docking en el notebook de Jupyter sin edición manual.</w:t>
            </w:r>
          </w:p>
        </w:tc>
      </w:tr>
    </w:tbl>
    <w:p/>
    <w:p>
      <w:r>
        <w:br w:type="page"/>
      </w:r>
    </w:p>
    <w:p>
      <w:pPr>
        <w:pStyle w:val="Heading1"/>
        <w:spacing w:before="360" w:after="120"/>
      </w:pPr>
      <w:r>
        <w:rPr>
          <w:rFonts w:ascii="Arial" w:cs="Arial" w:eastAsia="Arial" w:hAnsi="Arial"/>
          <w:b/>
          <w:bCs/>
          <w:color w:val="0D7377"/>
          <w:sz w:val="32"/>
          <w:szCs w:val="32"/>
        </w:rPr>
        <w:t xml:space="preserve">9. Archivos JSON — Contratos de Datos</w:t>
      </w:r>
    </w:p>
    <w:p>
      <w:pPr>
        <w:pStyle w:val="Heading2"/>
        <w:spacing w:before="280" w:after="80"/>
      </w:pPr>
      <w:r>
        <w:rPr>
          <w:rFonts w:ascii="Arial" w:cs="Arial" w:eastAsia="Arial" w:hAnsi="Arial"/>
          <w:b/>
          <w:bCs/>
          <w:color w:val="141418"/>
          <w:sz w:val="26"/>
          <w:szCs w:val="26"/>
        </w:rPr>
        <w:t xml:space="preserve">9.1 top_variants.json</w:t>
      </w:r>
    </w:p>
    <w:p>
      <w:pPr>
        <w:spacing w:before="60" w:after="80"/>
      </w:pPr>
      <w:r>
        <w:rPr>
          <w:rFonts w:ascii="Arial" w:cs="Arial" w:eastAsia="Arial" w:hAnsi="Arial"/>
          <w:color w:val="1e293b"/>
          <w:sz w:val="22"/>
          <w:szCs w:val="22"/>
        </w:rPr>
        <w:t xml:space="preserve">Array de objetos. Cada objeto representa una variante priorizada con sus metadatos completos:</w:t>
      </w:r>
    </w:p>
    <w:p>
      <w:pPr>
        <w:shd w:fill="F1F5F9" w:val="clear"/>
        <w:spacing w:before="40" w:after="40"/>
        <w:ind w:left="360" w:right="360"/>
      </w:pPr>
      <w:r>
        <w:rPr>
          <w:rFonts w:ascii="Courier New" w:cs="Courier New" w:eastAsia="Courier New" w:hAnsi="Courier New"/>
          <w:color w:val="1e3a5f"/>
          <w:sz w:val="18"/>
          <w:szCs w:val="18"/>
        </w:rPr>
        <w:t xml:space="preserve">[ { "rank": 1, "hugo_symbol": "PIK3CA", "protein_change": "H1047R",</w:t>
      </w:r>
    </w:p>
    <w:p>
      <w:pPr>
        <w:shd w:fill="F1F5F9" w:val="clear"/>
        <w:spacing w:before="40" w:after="40"/>
        <w:ind w:left="360" w:right="360"/>
      </w:pPr>
      <w:r>
        <w:rPr>
          <w:rFonts w:ascii="Courier New" w:cs="Courier New" w:eastAsia="Courier New" w:hAnsi="Courier New"/>
          <w:color w:val="1e3a5f"/>
          <w:sz w:val="18"/>
          <w:szCs w:val="18"/>
        </w:rPr>
        <w:t xml:space="preserve">    "frequency": 128, "cohort_percentage": 11.8,</w:t>
      </w:r>
    </w:p>
    <w:p>
      <w:pPr>
        <w:shd w:fill="F1F5F9" w:val="clear"/>
        <w:spacing w:before="40" w:after="40"/>
        <w:ind w:left="360" w:right="360"/>
      </w:pPr>
      <w:r>
        <w:rPr>
          <w:rFonts w:ascii="Courier New" w:cs="Courier New" w:eastAsia="Courier New" w:hAnsi="Courier New"/>
          <w:color w:val="1e3a5f"/>
          <w:sz w:val="18"/>
          <w:szCs w:val="18"/>
        </w:rPr>
        <w:t xml:space="preserve">    "chromosome": "3", "start_position": 179234297,</w:t>
      </w:r>
    </w:p>
    <w:p>
      <w:pPr>
        <w:shd w:fill="F1F5F9" w:val="clear"/>
        <w:spacing w:before="40" w:after="40"/>
        <w:ind w:left="360" w:right="360"/>
      </w:pPr>
      <w:r>
        <w:rPr>
          <w:rFonts w:ascii="Courier New" w:cs="Courier New" w:eastAsia="Courier New" w:hAnsi="Courier New"/>
          <w:color w:val="1e3a5f"/>
          <w:sz w:val="18"/>
          <w:szCs w:val="18"/>
        </w:rPr>
        <w:t xml:space="preserve">    "classification": "Patog\u00e9nica" }, ... ]</w:t>
      </w:r>
    </w:p>
    <w:p/>
    <w:p>
      <w:pPr>
        <w:pStyle w:val="Heading2"/>
        <w:spacing w:before="280" w:after="80"/>
      </w:pPr>
      <w:r>
        <w:rPr>
          <w:rFonts w:ascii="Arial" w:cs="Arial" w:eastAsia="Arial" w:hAnsi="Arial"/>
          <w:b/>
          <w:bCs/>
          <w:color w:val="141418"/>
          <w:sz w:val="26"/>
          <w:szCs w:val="26"/>
        </w:rPr>
        <w:t xml:space="preserve">9.2 structural_metrics.json</w:t>
      </w:r>
    </w:p>
    <w:p>
      <w:pPr>
        <w:spacing w:before="60" w:after="80"/>
      </w:pPr>
      <w:r>
        <w:rPr>
          <w:rFonts w:ascii="Arial" w:cs="Arial" w:eastAsia="Arial" w:hAnsi="Arial"/>
          <w:color w:val="1e293b"/>
          <w:sz w:val="22"/>
          <w:szCs w:val="22"/>
        </w:rPr>
        <w:t xml:space="preserve">Objeto indexado por variante_ID. Contiene todas las métricas estructurales y de docking integradas:</w:t>
      </w:r>
    </w:p>
    <w:p>
      <w:pPr>
        <w:shd w:fill="F1F5F9" w:val="clear"/>
        <w:spacing w:before="40" w:after="40"/>
        <w:ind w:left="360" w:right="360"/>
      </w:pPr>
      <w:r>
        <w:rPr>
          <w:rFonts w:ascii="Courier New" w:cs="Courier New" w:eastAsia="Courier New" w:hAnsi="Courier New"/>
          <w:color w:val="1e3a5f"/>
          <w:sz w:val="18"/>
          <w:szCs w:val="18"/>
        </w:rPr>
        <w:t xml:space="preserve">{ "PIK3CA_H1047R": {</w:t>
      </w:r>
    </w:p>
    <w:p>
      <w:pPr>
        <w:shd w:fill="F1F5F9" w:val="clear"/>
        <w:spacing w:before="40" w:after="40"/>
        <w:ind w:left="360" w:right="360"/>
      </w:pPr>
      <w:r>
        <w:rPr>
          <w:rFonts w:ascii="Courier New" w:cs="Courier New" w:eastAsia="Courier New" w:hAnsi="Courier New"/>
          <w:color w:val="1e3a5f"/>
          <w:sz w:val="18"/>
          <w:szCs w:val="18"/>
        </w:rPr>
        <w:t xml:space="preserve">    "wt_plddt": "87.3",   "mut_plddt": "85.1",</w:t>
      </w:r>
    </w:p>
    <w:p>
      <w:pPr>
        <w:shd w:fill="F1F5F9" w:val="clear"/>
        <w:spacing w:before="40" w:after="40"/>
        <w:ind w:left="360" w:right="360"/>
      </w:pPr>
      <w:r>
        <w:rPr>
          <w:rFonts w:ascii="Courier New" w:cs="Courier New" w:eastAsia="Courier New" w:hAnsi="Courier New"/>
          <w:color w:val="1e3a5f"/>
          <w:sz w:val="18"/>
          <w:szCs w:val="18"/>
        </w:rPr>
        <w:t xml:space="preserve">    "rmsd_global": "1.2",  "rmsd_active": "2.8",</w:t>
      </w:r>
    </w:p>
    <w:p>
      <w:pPr>
        <w:shd w:fill="F1F5F9" w:val="clear"/>
        <w:spacing w:before="40" w:after="40"/>
        <w:ind w:left="360" w:right="360"/>
      </w:pPr>
      <w:r>
        <w:rPr>
          <w:rFonts w:ascii="Courier New" w:cs="Courier New" w:eastAsia="Courier New" w:hAnsi="Courier New"/>
          <w:color w:val="1e3a5f"/>
          <w:sz w:val="18"/>
          <w:szCs w:val="18"/>
        </w:rPr>
        <w:t xml:space="preserve">    "rmsd_regions": [{"region": "Dominio Kinasa", "value": 2.8, "color": "#ef4444"}],</w:t>
      </w:r>
    </w:p>
    <w:p>
      <w:pPr>
        <w:shd w:fill="F1F5F9" w:val="clear"/>
        <w:spacing w:before="40" w:after="40"/>
        <w:ind w:left="360" w:right="360"/>
      </w:pPr>
      <w:r>
        <w:rPr>
          <w:rFonts w:ascii="Courier New" w:cs="Courier New" w:eastAsia="Courier New" w:hAnsi="Courier New"/>
          <w:color w:val="1e3a5f"/>
          <w:sz w:val="18"/>
          <w:szCs w:val="18"/>
        </w:rPr>
        <w:t xml:space="preserve">    "best_vina_drug": "Alpelisib", "best_vina_score": -9.2,</w:t>
      </w:r>
    </w:p>
    <w:p>
      <w:pPr>
        <w:shd w:fill="F1F5F9" w:val="clear"/>
        <w:spacing w:before="40" w:after="40"/>
        <w:ind w:left="360" w:right="360"/>
      </w:pPr>
      <w:r>
        <w:rPr>
          <w:rFonts w:ascii="Courier New" w:cs="Courier New" w:eastAsia="Courier New" w:hAnsi="Courier New"/>
          <w:color w:val="1e3a5f"/>
          <w:sz w:val="18"/>
          <w:szCs w:val="18"/>
        </w:rPr>
        <w:t xml:space="preserve">    "vina_scores": {"Alpelisib": -9.2, "Palbociclib": -7.8, ...}</w:t>
      </w:r>
    </w:p>
    <w:p>
      <w:pPr>
        <w:shd w:fill="F1F5F9" w:val="clear"/>
        <w:spacing w:before="40" w:after="40"/>
        <w:ind w:left="360" w:right="360"/>
      </w:pPr>
      <w:r>
        <w:rPr>
          <w:rFonts w:ascii="Courier New" w:cs="Courier New" w:eastAsia="Courier New" w:hAnsi="Courier New"/>
          <w:color w:val="1e3a5f"/>
          <w:sz w:val="18"/>
          <w:szCs w:val="18"/>
        </w:rPr>
        <w:t xml:space="preserve">  }, ... }</w:t>
      </w:r>
    </w:p>
    <w:p/>
    <w:p>
      <w:pPr>
        <w:pStyle w:val="Heading2"/>
        <w:spacing w:before="280" w:after="80"/>
      </w:pPr>
      <w:r>
        <w:rPr>
          <w:rFonts w:ascii="Arial" w:cs="Arial" w:eastAsia="Arial" w:hAnsi="Arial"/>
          <w:b/>
          <w:bCs/>
          <w:color w:val="141418"/>
          <w:sz w:val="26"/>
          <w:szCs w:val="26"/>
        </w:rPr>
        <w:t xml:space="preserve">9.3 manifest_structures.json</w:t>
      </w:r>
    </w:p>
    <w:p>
      <w:pPr>
        <w:spacing w:before="60" w:after="80"/>
      </w:pPr>
      <w:r>
        <w:rPr>
          <w:rFonts w:ascii="Arial" w:cs="Arial" w:eastAsia="Arial" w:hAnsi="Arial"/>
          <w:color w:val="1e293b"/>
          <w:sz w:val="22"/>
          <w:szCs w:val="22"/>
        </w:rPr>
        <w:t xml:space="preserve">Índice de estructuras disponibles en disco. La app web lo usa para saber qué variantes tienen estructura 3D:</w:t>
      </w:r>
    </w:p>
    <w:p>
      <w:pPr>
        <w:shd w:fill="F1F5F9" w:val="clear"/>
        <w:spacing w:before="40" w:after="40"/>
        <w:ind w:left="360" w:right="360"/>
      </w:pPr>
      <w:r>
        <w:rPr>
          <w:rFonts w:ascii="Courier New" w:cs="Courier New" w:eastAsia="Courier New" w:hAnsi="Courier New"/>
          <w:color w:val="1e3a5f"/>
          <w:sz w:val="18"/>
          <w:szCs w:val="18"/>
        </w:rPr>
        <w:t xml:space="preserve">{ "PIK3CA_H1047R": "data/structures/boltz_results_PIK3CA_H1047R/predictions/PIK3CA_H1047R/PIK3CA_H1047R_model_0.cif",</w:t>
      </w:r>
    </w:p>
    <w:p>
      <w:pPr>
        <w:shd w:fill="F1F5F9" w:val="clear"/>
        <w:spacing w:before="40" w:after="40"/>
        <w:ind w:left="360" w:right="360"/>
      </w:pPr>
      <w:r>
        <w:rPr>
          <w:rFonts w:ascii="Courier New" w:cs="Courier New" w:eastAsia="Courier New" w:hAnsi="Courier New"/>
          <w:color w:val="1e3a5f"/>
          <w:sz w:val="18"/>
          <w:szCs w:val="18"/>
        </w:rPr>
        <w:t xml:space="preserve">  "PIK3CA_WT":     "data/structures/boltz_results_PIK3CA_WT/predictions/PIK3CA_WT/PIK3CA_WT_model_0.cif",</w:t>
      </w:r>
    </w:p>
    <w:p>
      <w:pPr>
        <w:shd w:fill="F1F5F9" w:val="clear"/>
        <w:spacing w:before="40" w:after="40"/>
        <w:ind w:left="360" w:right="360"/>
      </w:pPr>
      <w:r>
        <w:rPr>
          <w:rFonts w:ascii="Courier New" w:cs="Courier New" w:eastAsia="Courier New" w:hAnsi="Courier New"/>
          <w:color w:val="1e3a5f"/>
          <w:sz w:val="18"/>
          <w:szCs w:val="18"/>
        </w:rPr>
        <w:t xml:space="preserve">  "TP53_R248Q":    null, ... }</w:t>
      </w:r>
    </w:p>
    <w:p>
      <w:pPr>
        <w:spacing w:before="60" w:after="80"/>
      </w:pPr>
      <w:r>
        <w:rPr>
          <w:rFonts w:ascii="Arial" w:cs="Arial" w:eastAsia="Arial" w:hAnsi="Arial"/>
          <w:color w:val="1e293b"/>
          <w:sz w:val="22"/>
          <w:szCs w:val="22"/>
        </w:rPr>
        <w:t xml:space="preserve">Un valor null indica que la variante está en el ranking pero aún no tiene estructura predicha.</w:t>
      </w:r>
    </w:p>
    <w:p/>
    <w:p>
      <w:r>
        <w:br w:type="page"/>
      </w:r>
    </w:p>
    <w:p>
      <w:pPr>
        <w:pStyle w:val="Heading1"/>
        <w:spacing w:before="360" w:after="120"/>
      </w:pPr>
      <w:r>
        <w:rPr>
          <w:rFonts w:ascii="Arial" w:cs="Arial" w:eastAsia="Arial" w:hAnsi="Arial"/>
          <w:b/>
          <w:bCs/>
          <w:color w:val="0D7377"/>
          <w:sz w:val="32"/>
          <w:szCs w:val="32"/>
        </w:rPr>
        <w:t xml:space="preserve">10. Resumen Técnico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8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1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0"/>
                <w:szCs w:val="20"/>
              </w:rPr>
              <w:t xml:space="preserve">Versión / Detalles</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Lenguaje</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Python</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3.12+ con venv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Pandas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2.2.2</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Bioinformática</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Biopython</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1.83 — SeqIO, MutableSeq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Local 27017 — PyMongo</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Predicción IA</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Boltz-1</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GPU T4 en Google Colab — salida mmCIF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Predicción 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ESMFold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pública — proteínas &lt;390 aa — salida PDB</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Docking</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AutoDock Vina</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1.2.3 — exe local en Windows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Quimioinformática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RDKit + Meeko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Generación de PDBQT 3D para ligandos</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Conversión</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OpenBabel</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3.1.1 — preparación de receptores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Fármacos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ChEMBL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 — descarga SDF por ChEMBL ID</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API Secuencias</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UniProt REST</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Swiss-Prot revisadas — FASTA canónico humano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HTML5 + JS Vanilla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 framework — SPA con data-view pattern</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Visualización</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PDBe Molstar v3.2</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WebGL — CIF/PDB — coloreado pLDDT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Gráficas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Plotly.js 2.32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Distribuciones, comparativas, docking</w:t>
            </w:r>
          </w:p>
        </w:tc>
      </w:tr>
      <w:tr>
        <w:tc>
          <w:tcPr>
            <w:tcW w:type="dxa" w:w="24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Entorno Colab</w:t>
            </w:r>
          </w:p>
        </w:tc>
        <w:tc>
          <w:tcPr>
            <w:tcW w:type="dxa" w:w="2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Google Colab + Drive</w:t>
            </w:r>
          </w:p>
        </w:tc>
        <w:tc>
          <w:tcPr>
            <w:tcW w:type="dxa" w:w="41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r>
              <w:rPr>
                <w:rFonts w:ascii="Arial" w:cs="Arial" w:eastAsia="Arial" w:hAnsi="Arial"/>
                <w:color w:val="1e293b"/>
                <w:sz w:val="20"/>
                <w:szCs w:val="20"/>
              </w:rPr>
              <w:t xml:space="preserve">GPU T4 gratuita + persistencia en Drive</w:t>
            </w:r>
          </w:p>
        </w:tc>
      </w:tr>
    </w:tbl>
    <w:p/>
    <w:p/>
    <w:p>
      <w:pPr>
        <w:pBdr>
          <w:bottom w:val="single" w:color="0D7377" w:sz="4" w:space="1"/>
        </w:pBdr>
        <w:spacing w:before="120" w:after="120"/>
      </w:pPr>
    </w:p>
    <w:p>
      <w:pPr>
        <w:spacing w:before="240" w:after="60"/>
        <w:jc w:val="center"/>
      </w:pPr>
      <w:r>
        <w:rPr>
          <w:rFonts w:ascii="Arial" w:cs="Arial" w:eastAsia="Arial" w:hAnsi="Arial"/>
          <w:color w:val="64748B"/>
          <w:sz w:val="20"/>
          <w:szCs w:val="20"/>
        </w:rPr>
        <w:t xml:space="preserve">GEMA MX — Reporte de Arquitectura e Implementación</w:t>
      </w:r>
    </w:p>
    <w:p>
      <w:pPr>
        <w:spacing w:before="0" w:after="0"/>
        <w:jc w:val="center"/>
      </w:pPr>
      <w:r>
        <w:rPr>
          <w:rFonts w:ascii="Arial" w:cs="Arial" w:eastAsia="Arial" w:hAnsi="Arial"/>
          <w:i/>
          <w:iCs/>
          <w:color w:val="64748B"/>
          <w:sz w:val="18"/>
          <w:szCs w:val="18"/>
        </w:rPr>
        <w:t xml:space="preserve">Universidad de Sonora · Marzo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7377"/>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4141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2026-03-21T19:57:04.175Z</dcterms:created>
  <dcterms:modified xsi:type="dcterms:W3CDTF">2026-03-21T19:57:04.176Z</dcterms:modified>
</cp:coreProperties>
</file>

<file path=docProps/custom.xml><?xml version="1.0" encoding="utf-8"?>
<Properties xmlns="http://schemas.openxmlformats.org/officeDocument/2006/custom-properties" xmlns:vt="http://schemas.openxmlformats.org/officeDocument/2006/docPropsVTypes"/>
</file>