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2225F" w14:textId="3B62B2CC" w:rsidR="00153BE9" w:rsidRPr="00AE287A" w:rsidRDefault="00AE287A">
      <w:pPr>
        <w:rPr>
          <w:rFonts w:ascii="Arial" w:hAnsi="Arial" w:cs="Arial"/>
          <w:b/>
          <w:bCs/>
          <w:sz w:val="28"/>
          <w:szCs w:val="28"/>
        </w:rPr>
      </w:pPr>
      <w:r w:rsidRPr="00AE287A">
        <w:rPr>
          <w:rFonts w:ascii="Arial" w:hAnsi="Arial" w:cs="Arial"/>
          <w:b/>
          <w:bCs/>
          <w:sz w:val="28"/>
          <w:szCs w:val="28"/>
        </w:rPr>
        <w:t>Summary Post – Week 10</w:t>
      </w:r>
    </w:p>
    <w:p w14:paraId="2988877D" w14:textId="77777777" w:rsidR="00AE287A" w:rsidRPr="00AE287A" w:rsidRDefault="00AE287A">
      <w:pPr>
        <w:rPr>
          <w:rFonts w:ascii="Arial" w:hAnsi="Arial" w:cs="Arial"/>
        </w:rPr>
      </w:pPr>
    </w:p>
    <w:p w14:paraId="4656CB40" w14:textId="77777777" w:rsidR="00AE287A" w:rsidRPr="00AE287A" w:rsidRDefault="00AE287A">
      <w:pPr>
        <w:rPr>
          <w:rFonts w:ascii="Arial" w:hAnsi="Arial" w:cs="Arial"/>
        </w:rPr>
      </w:pPr>
      <w:r w:rsidRPr="00AE287A">
        <w:rPr>
          <w:rFonts w:ascii="Arial" w:hAnsi="Arial" w:cs="Arial"/>
        </w:rPr>
        <w:t xml:space="preserve">Following the collaborative discussion, I maintain my initial position that VeraCrypt is superior for technically competent users who prioritise transparency, while BitLocker serves as a more reliable default for general users. However, feedback from my peers has significantly refined my perspective, particularly regarding the intersection of hardware dependencies and human-centric security. </w:t>
      </w:r>
    </w:p>
    <w:p w14:paraId="098EB934" w14:textId="77777777" w:rsidR="00AE287A" w:rsidRPr="00AE287A" w:rsidRDefault="00AE287A">
      <w:pPr>
        <w:rPr>
          <w:rFonts w:ascii="Arial" w:hAnsi="Arial" w:cs="Arial"/>
        </w:rPr>
      </w:pPr>
    </w:p>
    <w:p w14:paraId="64889BF0" w14:textId="201BD941" w:rsidR="00AE287A" w:rsidRPr="00AE287A" w:rsidRDefault="00AE287A">
      <w:pPr>
        <w:rPr>
          <w:rFonts w:ascii="Arial" w:hAnsi="Arial" w:cs="Arial"/>
        </w:rPr>
      </w:pPr>
      <w:r w:rsidRPr="00AE287A">
        <w:rPr>
          <w:rFonts w:ascii="Arial" w:hAnsi="Arial" w:cs="Arial"/>
        </w:rPr>
        <w:t xml:space="preserve">I agree with the peer feedback that my Weakness → Trigger → Impact model effectively illustrates that security is not a static technical state, but a dynamic result of system design and user interaction. As noted in my original post, Tan et al. (2020) emphasise that cryptographic strength is often bypassed by weak password practices. However, the discussion prompted me to consider hardware-level risks more critically. While I initially highlighted BitLocker’s TPM integration as a usability strength, I now recognise that hardware abstraction can mask implementation flaws, such as those identified in self-encrypting drives (Meijer </w:t>
      </w:r>
      <w:r w:rsidR="00195E06">
        <w:rPr>
          <w:rFonts w:ascii="Arial" w:hAnsi="Arial" w:cs="Arial"/>
        </w:rPr>
        <w:t>et al.</w:t>
      </w:r>
      <w:r w:rsidRPr="00AE287A">
        <w:rPr>
          <w:rFonts w:ascii="Arial" w:hAnsi="Arial" w:cs="Arial"/>
        </w:rPr>
        <w:t xml:space="preserve">, 2019). This demonstrates that automation can improve </w:t>
      </w:r>
      <w:r w:rsidRPr="00AE287A">
        <w:rPr>
          <w:rFonts w:ascii="Arial" w:hAnsi="Arial" w:cs="Arial"/>
        </w:rPr>
        <w:t>usability but</w:t>
      </w:r>
      <w:r w:rsidRPr="00AE287A">
        <w:rPr>
          <w:rFonts w:ascii="Arial" w:hAnsi="Arial" w:cs="Arial"/>
        </w:rPr>
        <w:t xml:space="preserve"> may require a higher level of trust in proprietary implementations. </w:t>
      </w:r>
    </w:p>
    <w:p w14:paraId="2B40EA0B" w14:textId="77777777" w:rsidR="00AE287A" w:rsidRPr="00AE287A" w:rsidRDefault="00AE287A">
      <w:pPr>
        <w:rPr>
          <w:rFonts w:ascii="Arial" w:hAnsi="Arial" w:cs="Arial"/>
        </w:rPr>
      </w:pPr>
    </w:p>
    <w:p w14:paraId="0A98335F" w14:textId="0F1E30AA" w:rsidR="00AE287A" w:rsidRPr="00AE287A" w:rsidRDefault="00AE287A">
      <w:pPr>
        <w:rPr>
          <w:rFonts w:ascii="Arial" w:hAnsi="Arial" w:cs="Arial"/>
        </w:rPr>
      </w:pPr>
      <w:r w:rsidRPr="00AE287A">
        <w:rPr>
          <w:rFonts w:ascii="Arial" w:hAnsi="Arial" w:cs="Arial"/>
        </w:rPr>
        <w:t>Furthermore, the peer review highlighted a gap in my initial analysis regarding mitigation strategies. To strengthen my original post, I now suggest that the high-severity risk of data loss in VeraCrypt must be mitigated through robust credential management and user awareness. This aligns with the principle that security must remain usable; otherwise, users are more likely to adopt insecure workarounds (Sasse</w:t>
      </w:r>
      <w:r w:rsidR="00195E06">
        <w:rPr>
          <w:rFonts w:ascii="Arial" w:hAnsi="Arial" w:cs="Arial"/>
        </w:rPr>
        <w:t xml:space="preserve"> et al., </w:t>
      </w:r>
      <w:r w:rsidRPr="00AE287A">
        <w:rPr>
          <w:rFonts w:ascii="Arial" w:hAnsi="Arial" w:cs="Arial"/>
        </w:rPr>
        <w:t xml:space="preserve">2001). </w:t>
      </w:r>
    </w:p>
    <w:p w14:paraId="316884E4" w14:textId="77777777" w:rsidR="00AE287A" w:rsidRPr="00AE287A" w:rsidRDefault="00AE287A">
      <w:pPr>
        <w:rPr>
          <w:rFonts w:ascii="Arial" w:hAnsi="Arial" w:cs="Arial"/>
        </w:rPr>
      </w:pPr>
    </w:p>
    <w:p w14:paraId="2B34BA16" w14:textId="0BF782FB" w:rsidR="00AE287A" w:rsidRDefault="00AE287A">
      <w:pPr>
        <w:rPr>
          <w:rFonts w:ascii="Arial" w:hAnsi="Arial" w:cs="Arial"/>
        </w:rPr>
      </w:pPr>
      <w:r w:rsidRPr="00AE287A">
        <w:rPr>
          <w:rFonts w:ascii="Arial" w:hAnsi="Arial" w:cs="Arial"/>
        </w:rPr>
        <w:t>In conclusion, this discussion has supported my development by shifting my focus from purely cryptographic assurance to a broader understanding of risk management. I now recognise that selecting an encryption tool depends not only on technical strength, but also on user behaviour, system design, and the wider operating environment.</w:t>
      </w:r>
    </w:p>
    <w:p w14:paraId="559CDEB4" w14:textId="77777777" w:rsidR="00AE287A" w:rsidRDefault="00AE287A">
      <w:pPr>
        <w:rPr>
          <w:rFonts w:ascii="Arial" w:hAnsi="Arial" w:cs="Arial"/>
        </w:rPr>
      </w:pPr>
    </w:p>
    <w:p w14:paraId="0D70CCC7" w14:textId="6D1B96AF" w:rsidR="00AE287A" w:rsidRDefault="00AE287A">
      <w:pPr>
        <w:rPr>
          <w:rFonts w:ascii="Arial" w:hAnsi="Arial" w:cs="Arial"/>
          <w:b/>
          <w:bCs/>
        </w:rPr>
      </w:pPr>
      <w:r w:rsidRPr="00AE287A">
        <w:rPr>
          <w:rFonts w:ascii="Arial" w:hAnsi="Arial" w:cs="Arial"/>
          <w:b/>
          <w:bCs/>
        </w:rPr>
        <w:t>References:</w:t>
      </w:r>
    </w:p>
    <w:p w14:paraId="374FAF3A" w14:textId="77777777" w:rsidR="00AE287A" w:rsidRDefault="00AE287A">
      <w:pPr>
        <w:rPr>
          <w:rFonts w:ascii="Arial" w:hAnsi="Arial" w:cs="Arial"/>
          <w:b/>
          <w:bCs/>
        </w:rPr>
      </w:pPr>
    </w:p>
    <w:p w14:paraId="001F5FF3" w14:textId="77777777" w:rsidR="00AE287A" w:rsidRPr="00AE287A" w:rsidRDefault="00AE287A">
      <w:pPr>
        <w:rPr>
          <w:rFonts w:ascii="Arial" w:hAnsi="Arial" w:cs="Arial"/>
        </w:rPr>
      </w:pPr>
      <w:r w:rsidRPr="00AE287A">
        <w:rPr>
          <w:rFonts w:ascii="Arial" w:hAnsi="Arial" w:cs="Arial"/>
        </w:rPr>
        <w:t xml:space="preserve">Meijer, C. and van Gastel, B. (2019) ‘Self-encrypting deception: weaknesses in the encryption of </w:t>
      </w:r>
      <w:proofErr w:type="gramStart"/>
      <w:r w:rsidRPr="00AE287A">
        <w:rPr>
          <w:rFonts w:ascii="Arial" w:hAnsi="Arial" w:cs="Arial"/>
        </w:rPr>
        <w:t>solid state</w:t>
      </w:r>
      <w:proofErr w:type="gramEnd"/>
      <w:r w:rsidRPr="00AE287A">
        <w:rPr>
          <w:rFonts w:ascii="Arial" w:hAnsi="Arial" w:cs="Arial"/>
        </w:rPr>
        <w:t xml:space="preserve"> drives’, IEEE Symposium on Security and Privacy, pp. 72–87. </w:t>
      </w:r>
    </w:p>
    <w:p w14:paraId="6AC02A84" w14:textId="77777777" w:rsidR="00AE287A" w:rsidRPr="00AE287A" w:rsidRDefault="00AE287A">
      <w:pPr>
        <w:rPr>
          <w:rFonts w:ascii="Arial" w:hAnsi="Arial" w:cs="Arial"/>
        </w:rPr>
      </w:pPr>
    </w:p>
    <w:p w14:paraId="55DCBCC0" w14:textId="77777777" w:rsidR="00AE287A" w:rsidRPr="00AE287A" w:rsidRDefault="00AE287A">
      <w:pPr>
        <w:rPr>
          <w:rFonts w:ascii="Arial" w:hAnsi="Arial" w:cs="Arial"/>
        </w:rPr>
      </w:pPr>
      <w:r w:rsidRPr="00AE287A">
        <w:rPr>
          <w:rFonts w:ascii="Arial" w:hAnsi="Arial" w:cs="Arial"/>
        </w:rPr>
        <w:t xml:space="preserve">Sasse, M. A., Brostoff, S. and Weirich, D. (2001) ‘Transforming the "weakest link": a human-computer interaction approach to passwords’, International Journal of Human-Computer Interaction, 13(2), pp. 122–131. </w:t>
      </w:r>
    </w:p>
    <w:p w14:paraId="4DDD9BAC" w14:textId="77777777" w:rsidR="00AE287A" w:rsidRPr="00AE287A" w:rsidRDefault="00AE287A">
      <w:pPr>
        <w:rPr>
          <w:rFonts w:ascii="Arial" w:hAnsi="Arial" w:cs="Arial"/>
        </w:rPr>
      </w:pPr>
    </w:p>
    <w:p w14:paraId="77172741" w14:textId="1041F841" w:rsidR="00AE287A" w:rsidRPr="00AE287A" w:rsidRDefault="00AE287A">
      <w:pPr>
        <w:rPr>
          <w:rFonts w:ascii="Arial" w:hAnsi="Arial" w:cs="Arial"/>
        </w:rPr>
      </w:pPr>
      <w:r w:rsidRPr="00AE287A">
        <w:rPr>
          <w:rFonts w:ascii="Arial" w:hAnsi="Arial" w:cs="Arial"/>
        </w:rPr>
        <w:t>Tan, C., Zhang, L. and Bao, L. (2020) ‘A Deep Exploration of BitLocker Encryption and Security Analysis’, 12th International Conference on Communication Software and Networks (ICCT), pp. 1070–1074.</w:t>
      </w:r>
    </w:p>
    <w:p w14:paraId="3CF0E2EC" w14:textId="77777777" w:rsidR="00AE287A" w:rsidRDefault="00AE287A">
      <w:pPr>
        <w:rPr>
          <w:rFonts w:ascii="Arial" w:hAnsi="Arial" w:cs="Arial"/>
        </w:rPr>
      </w:pPr>
    </w:p>
    <w:p w14:paraId="6E4E4E4B" w14:textId="77777777" w:rsidR="00AE287A" w:rsidRPr="00AE287A" w:rsidRDefault="00AE287A">
      <w:pPr>
        <w:rPr>
          <w:rFonts w:ascii="Arial" w:hAnsi="Arial" w:cs="Arial"/>
        </w:rPr>
      </w:pPr>
    </w:p>
    <w:sectPr w:rsidR="00AE287A" w:rsidRPr="00AE287A"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7A"/>
    <w:rsid w:val="00153BE9"/>
    <w:rsid w:val="00195E06"/>
    <w:rsid w:val="0026657B"/>
    <w:rsid w:val="006F3119"/>
    <w:rsid w:val="007A57C5"/>
    <w:rsid w:val="00AE287A"/>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10EC3DA"/>
  <w15:chartTrackingRefBased/>
  <w15:docId w15:val="{1E184310-9E0F-5841-8336-64AB24C20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8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8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8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8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87A"/>
    <w:rPr>
      <w:rFonts w:eastAsiaTheme="majorEastAsia" w:cstheme="majorBidi"/>
      <w:color w:val="272727" w:themeColor="text1" w:themeTint="D8"/>
    </w:rPr>
  </w:style>
  <w:style w:type="paragraph" w:styleId="Title">
    <w:name w:val="Title"/>
    <w:basedOn w:val="Normal"/>
    <w:next w:val="Normal"/>
    <w:link w:val="TitleChar"/>
    <w:uiPriority w:val="10"/>
    <w:qFormat/>
    <w:rsid w:val="00AE28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8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8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287A"/>
    <w:rPr>
      <w:i/>
      <w:iCs/>
      <w:color w:val="404040" w:themeColor="text1" w:themeTint="BF"/>
    </w:rPr>
  </w:style>
  <w:style w:type="paragraph" w:styleId="ListParagraph">
    <w:name w:val="List Paragraph"/>
    <w:basedOn w:val="Normal"/>
    <w:uiPriority w:val="34"/>
    <w:qFormat/>
    <w:rsid w:val="00AE287A"/>
    <w:pPr>
      <w:ind w:left="720"/>
      <w:contextualSpacing/>
    </w:pPr>
  </w:style>
  <w:style w:type="character" w:styleId="IntenseEmphasis">
    <w:name w:val="Intense Emphasis"/>
    <w:basedOn w:val="DefaultParagraphFont"/>
    <w:uiPriority w:val="21"/>
    <w:qFormat/>
    <w:rsid w:val="00AE287A"/>
    <w:rPr>
      <w:i/>
      <w:iCs/>
      <w:color w:val="2F5496" w:themeColor="accent1" w:themeShade="BF"/>
    </w:rPr>
  </w:style>
  <w:style w:type="paragraph" w:styleId="IntenseQuote">
    <w:name w:val="Intense Quote"/>
    <w:basedOn w:val="Normal"/>
    <w:next w:val="Normal"/>
    <w:link w:val="IntenseQuoteChar"/>
    <w:uiPriority w:val="30"/>
    <w:qFormat/>
    <w:rsid w:val="00AE2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87A"/>
    <w:rPr>
      <w:i/>
      <w:iCs/>
      <w:color w:val="2F5496" w:themeColor="accent1" w:themeShade="BF"/>
    </w:rPr>
  </w:style>
  <w:style w:type="character" w:styleId="IntenseReference">
    <w:name w:val="Intense Reference"/>
    <w:basedOn w:val="DefaultParagraphFont"/>
    <w:uiPriority w:val="32"/>
    <w:qFormat/>
    <w:rsid w:val="00AE28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569</Words>
  <Characters>1995</Characters>
  <Application>Microsoft Office Word</Application>
  <DocSecurity>0</DocSecurity>
  <Lines>142</Lines>
  <Paragraphs>170</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2</cp:revision>
  <dcterms:created xsi:type="dcterms:W3CDTF">2026-04-07T22:45:00Z</dcterms:created>
  <dcterms:modified xsi:type="dcterms:W3CDTF">2026-04-08T19:47:00Z</dcterms:modified>
</cp:coreProperties>
</file>