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B3A5C"/>
          <w:sz w:val="56"/>
          <w:szCs w:val="56"/>
        </w:rPr>
        <w:t xml:space="preserve">VanCity Lens</w:t>
      </w:r>
    </w:p>
    <w:p>
      <w:pPr>
        <w:spacing w:after="100"/>
        <w:jc w:val="center"/>
      </w:pPr>
      <w:r>
        <w:rPr>
          <w:rFonts w:ascii="Arial" w:cs="Arial" w:eastAsia="Arial" w:hAnsi="Arial"/>
          <w:color w:val="555555"/>
          <w:sz w:val="36"/>
          <w:szCs w:val="36"/>
        </w:rPr>
        <w:t xml:space="preserve">Comprehensive Architecture &amp; Business Review</w:t>
      </w:r>
    </w:p>
    <w:p>
      <w:pPr>
        <w:spacing w:after="400"/>
        <w:jc w:val="center"/>
      </w:pPr>
      <w:r>
        <w:rPr>
          <w:rFonts w:ascii="Arial" w:cs="Arial" w:eastAsia="Arial" w:hAnsi="Arial"/>
          <w:color w:val="888888"/>
          <w:sz w:val="24"/>
          <w:szCs w:val="24"/>
        </w:rPr>
        <w:t xml:space="preserve">Performance • Security • Testing • Business Value</w:t>
      </w:r>
    </w:p>
    <w:p>
      <w:pPr>
        <w:spacing w:after="200"/>
        <w:jc w:val="center"/>
      </w:pPr>
      <w:r>
        <w:rPr>
          <w:rFonts w:ascii="Arial" w:cs="Arial" w:eastAsia="Arial" w:hAnsi="Arial"/>
          <w:color w:val="888888"/>
          <w:sz w:val="24"/>
          <w:szCs w:val="24"/>
        </w:rPr>
        <w:t xml:space="preserve">February 7, 2026</w:t>
      </w:r>
    </w:p>
    <w:p>
      <w:r>
        <w:br w:type="page"/>
      </w:r>
    </w:p>
    <w:p>
      <w:pPr>
        <w:pStyle w:val="Heading1"/>
      </w:pPr>
      <w:r>
        <w:t xml:space="preserve">Executive Summary</w:t>
      </w:r>
    </w:p>
    <w:p>
      <w:pPr>
        <w:spacing w:after="120"/>
      </w:pPr>
      <w:r>
        <w:rPr>
          <w:rFonts w:ascii="Arial" w:cs="Arial" w:eastAsia="Arial" w:hAnsi="Arial"/>
          <w:sz w:val="22"/>
          <w:szCs w:val="22"/>
        </w:rPr>
        <w:t xml:space="preserve">This document consolidates four comprehensive reviews of the VanCity Lens platform: Performance &amp; Scalability, Modern Practices &amp; Security, Test Coverage &amp; E2E Validation, and Business Value Assessment. The reviews were conducted against the live codebase (commit a62e652) with all Docker services running and verified.</w:t>
      </w:r>
    </w:p>
    <w:p>
      <w:pPr>
        <w:spacing w:after="120"/>
      </w:pPr>
      <w:r>
        <w:rPr>
          <w:rFonts w:ascii="Arial" w:cs="Arial" w:eastAsia="Arial" w:hAnsi="Arial"/>
          <w:b/>
          <w:bCs/>
          <w:sz w:val="22"/>
          <w:szCs w:val="22"/>
        </w:rPr>
        <w:t xml:space="preserve">Current State: </w:t>
      </w:r>
      <w:r>
        <w:rPr>
          <w:rFonts w:ascii="Arial" w:cs="Arial" w:eastAsia="Arial" w:hAnsi="Arial"/>
          <w:sz w:val="22"/>
          <w:szCs w:val="22"/>
        </w:rPr>
        <w:t xml:space="preserve">The platform has a solid technical foundation — FastAPI 0.115, Pydantic v2, Python 3.12, Next.js 15, React 19, PostGIS 16 + pgvector. The core Bill 47 entitlement engine works correctly with 92K parcels loaded. The intelligence pipeline (document scraping, LLM extraction, hybrid search) is architecturally complete but unseeded with real data. 275 backend tests and 20 frontend E2E tests pass, but critical coverage gaps exist.</w:t>
      </w:r>
    </w:p>
    <w:p>
      <w:pPr>
        <w:spacing w:after="120"/>
      </w:pPr>
      <w:r>
        <w:rPr>
          <w:rFonts w:ascii="Arial" w:cs="Arial" w:eastAsia="Arial" w:hAnsi="Arial"/>
          <w:b/>
          <w:bCs/>
          <w:sz w:val="22"/>
          <w:szCs w:val="22"/>
        </w:rPr>
        <w:t xml:space="preserve">Business Readiness: </w:t>
      </w:r>
      <w:r>
        <w:rPr>
          <w:rFonts w:ascii="Arial" w:cs="Arial" w:eastAsia="Arial" w:hAnsi="Arial"/>
          <w:sz w:val="22"/>
          <w:szCs w:val="22"/>
        </w:rPr>
        <w:t xml:space="preserve">The product has a genuine competitive advantage — automated Bill 47 entitlement calculation + government document intelligence extraction. No competitor is doing this for Vancouver. However, the platform is approximately 80% technically complete and only 5% business-ready. The primary gap is real data seeding and user journey completion from “find parcel” to “make offer.”</w:t>
      </w:r>
    </w:p>
    <w:p>
      <w:pPr>
        <w:spacing w:after="120"/>
      </w:pPr>
      <w:r>
        <w:rPr>
          <w:rFonts w:ascii="Arial" w:cs="Arial" w:eastAsia="Arial" w:hAnsi="Arial"/>
          <w:b/>
          <w:bCs/>
          <w:sz w:val="22"/>
          <w:szCs w:val="22"/>
        </w:rPr>
        <w:t xml:space="preserve">Critical Path: </w:t>
      </w:r>
      <w:r>
        <w:rPr>
          <w:rFonts w:ascii="Arial" w:cs="Arial" w:eastAsia="Arial" w:hAnsi="Arial"/>
          <w:sz w:val="22"/>
          <w:szCs w:val="22"/>
        </w:rPr>
        <w:t xml:space="preserve">This plan organizes 42 improvement items across 6 priority tiers, estimated at 18–22 engineering weeks. The top 10 items (Tier 0–1) should be completed before any external user testing.</w:t>
      </w:r>
    </w:p>
    <w:p>
      <w:pPr>
        <w:spacing w:after="200"/>
      </w:pPr>
    </w:p>
    <w:p>
      <w:r>
        <w:br w:type="page"/>
      </w:r>
    </w:p>
    <w:p>
      <w:pPr>
        <w:pStyle w:val="Heading1"/>
      </w:pPr>
      <w:r>
        <w:t xml:space="preserve">1. Performance &amp; Scalability</w:t>
      </w:r>
    </w:p>
    <w:p>
      <w:pPr>
        <w:pStyle w:val="Heading2"/>
      </w:pPr>
      <w:r>
        <w:t xml:space="preserve">1.1 Critical Findings</w:t>
      </w:r>
    </w:p>
    <w:p>
      <w:pPr>
        <w:pStyle w:val="Heading3"/>
      </w:pPr>
      <w:r>
        <w:t xml:space="preserve">Connection Pool Bottleneck</w:t>
      </w:r>
    </w:p>
    <w:p>
      <w:pPr>
        <w:spacing w:after="120"/>
      </w:pPr>
      <w:r>
        <w:rPr>
          <w:rFonts w:ascii="Arial" w:cs="Arial" w:eastAsia="Arial" w:hAnsi="Arial"/>
          <w:sz w:val="22"/>
          <w:szCs w:val="22"/>
        </w:rPr>
        <w:t xml:space="preserve">The asyncpg pool is configured with min_size=2, max_size=10. Under moderate load (20+ concurrent users), pool exhaustion will cause request queuing and eventual 503 errors. The pool size should scale with deployment — 10 for dev, 25–50 for production, configurable via environment variable.</w:t>
      </w:r>
    </w:p>
    <w:p>
      <w:pPr>
        <w:pStyle w:val="Heading3"/>
      </w:pPr>
      <w:r>
        <w:t xml:space="preserve">N+1 Query Pattern in Neighborhood Scorecards</w:t>
      </w:r>
    </w:p>
    <w:p>
      <w:pPr>
        <w:spacing w:after="120"/>
      </w:pPr>
      <w:r>
        <w:rPr>
          <w:rFonts w:ascii="Arial" w:cs="Arial" w:eastAsia="Arial" w:hAnsi="Arial"/>
          <w:sz w:val="22"/>
          <w:szCs w:val="22"/>
        </w:rPr>
        <w:t xml:space="preserve">The get_all_scorecards endpoint executes 88 individual queries for 22 neighborhoods (4 per neighborhood: base data, category scores, active rezonings, recent permits). This should be collapsed into a single query with JOINs and window functions, reducing database round-trips by 95%.</w:t>
      </w:r>
    </w:p>
    <w:p>
      <w:pPr>
        <w:pStyle w:val="Heading3"/>
      </w:pPr>
      <w:r>
        <w:t xml:space="preserve">No Response Caching</w:t>
      </w:r>
    </w:p>
    <w:p>
      <w:pPr>
        <w:spacing w:after="120"/>
      </w:pPr>
      <w:r>
        <w:rPr>
          <w:rFonts w:ascii="Arial" w:cs="Arial" w:eastAsia="Arial" w:hAnsi="Arial"/>
          <w:sz w:val="22"/>
          <w:szCs w:val="22"/>
        </w:rPr>
        <w:t xml:space="preserve">The TOA GeoJSON endpoint regenerates the full FeatureCollection on every request despite the data changing at most monthly. Similarly, neighborhood scorecards and opportunity rankings should be cached. Recommendation: add Redis (or in-memory TTL cache) for endpoints with low-frequency data changes.</w:t>
      </w:r>
    </w:p>
    <w:p>
      <w:pPr>
        <w:pStyle w:val="Heading3"/>
      </w:pPr>
      <w:r>
        <w:t xml:space="preserve">Serial Document Processing</w:t>
      </w:r>
    </w:p>
    <w:p>
      <w:pPr>
        <w:spacing w:after="120"/>
      </w:pPr>
      <w:r>
        <w:rPr>
          <w:rFonts w:ascii="Arial" w:cs="Arial" w:eastAsia="Arial" w:hAnsi="Arial"/>
          <w:sz w:val="22"/>
          <w:szCs w:val="22"/>
        </w:rPr>
        <w:t xml:space="preserve">The intelligence pipeline processes documents one at a time — download, parse, chunk, embed, extract. For batch ingestion (e.g., seeding 200 council minutes), this creates a bottleneck. Recommendation: asyncio.gather with semaphore-bounded concurrency (5–10 parallel documents).</w:t>
      </w:r>
    </w:p>
    <w:p>
      <w:pPr>
        <w:pStyle w:val="Heading2"/>
      </w:pPr>
      <w:r>
        <w:t xml:space="preserve">1.2 Performance Action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4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Pool size configuration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Make pool min/max configurable via env vars. Default to 5/25 for production.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N+1 scorecards query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Rewrite get_all_scorecards as a single query with CTEs and window functions.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Response caching 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Redis or in-memory cache for TOA GeoJSON (1hr TTL), scorecards (15min), opportunities (5min).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Compound indexes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indexes: intelligence_signals(neighborhood, event_date), document_chunks(document_id, chunk_index).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Parallel document processing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asyncio.gather with semaphore for batch ingestion (5–10 concurrent).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Connection pooling for embeddings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Batch embedding API calls (Cohere allows 96 texts per call) instead of one-at-a-time.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Pagination on opportunities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cursor-based pagination instead of LIMIT/OFFSET for large result sets.</w:t>
            </w:r>
          </w:p>
        </w:tc>
      </w:tr>
    </w:tbl>
    <w:p>
      <w:pPr>
        <w:spacing w:after="200"/>
      </w:pPr>
    </w:p>
    <w:p>
      <w:r>
        <w:br w:type="page"/>
      </w:r>
    </w:p>
    <w:p>
      <w:pPr>
        <w:pStyle w:val="Heading1"/>
      </w:pPr>
      <w:r>
        <w:t xml:space="preserve">2. Security &amp; Modern Practices</w:t>
      </w:r>
    </w:p>
    <w:p>
      <w:pPr>
        <w:pStyle w:val="Heading2"/>
      </w:pPr>
      <w:r>
        <w:t xml:space="preserve">2.1 Positive Findings</w:t>
      </w:r>
    </w:p>
    <w:p>
      <w:pPr>
        <w:spacing w:after="120"/>
      </w:pPr>
      <w:r>
        <w:rPr>
          <w:rFonts w:ascii="Arial" w:cs="Arial" w:eastAsia="Arial" w:hAnsi="Arial"/>
          <w:sz w:val="22"/>
          <w:szCs w:val="22"/>
        </w:rPr>
        <w:t xml:space="preserve">The technology choices are modern and well-aligned: FastAPI 0.115.6, Pydantic v2 with strict validation, Python 3.12 with type hints throughout, Next.js 15 with React 19, TypeScript in strict mode, asyncpg for non-blocking database access, and PostGIS 16 + pgvector for spatial + vector operations. The framework foundation is enterprise-grade.</w:t>
      </w:r>
    </w:p>
    <w:p>
      <w:pPr>
        <w:pStyle w:val="Heading2"/>
      </w:pPr>
      <w:r>
        <w:t xml:space="preserve">2.2 Critical Security Issues</w:t>
      </w:r>
    </w:p>
    <w:p>
      <w:pPr>
        <w:pStyle w:val="Heading3"/>
      </w:pPr>
      <w:r>
        <w:t xml:space="preserve">Unprotected Admin Endpoints</w:t>
      </w:r>
    </w:p>
    <w:p>
      <w:pPr>
        <w:spacing w:after="120"/>
      </w:pPr>
      <w:r>
        <w:rPr>
          <w:rFonts w:ascii="Arial" w:cs="Arial" w:eastAsia="Arial" w:hAnsi="Arial"/>
          <w:sz w:val="22"/>
          <w:szCs w:val="22"/>
        </w:rPr>
        <w:t xml:space="preserve">All /api/v1/intel/admin/* endpoints (scrape triggers, data management) have zero authentication. Anyone who discovers the URL can trigger scraping, modify data, or access internal statistics. This must be gated behind API key or JWT authentication before any deployment.</w:t>
      </w:r>
    </w:p>
    <w:p>
      <w:pPr>
        <w:pStyle w:val="Heading3"/>
      </w:pPr>
      <w:r>
        <w:t xml:space="preserve">CORS Configuration Too Permissive</w:t>
      </w:r>
    </w:p>
    <w:p>
      <w:pPr>
        <w:spacing w:after="120"/>
      </w:pPr>
      <w:r>
        <w:rPr>
          <w:rFonts w:ascii="Arial" w:cs="Arial" w:eastAsia="Arial" w:hAnsi="Arial"/>
          <w:sz w:val="22"/>
          <w:szCs w:val="22"/>
        </w:rPr>
        <w:t xml:space="preserve">allow_methods=["*"] and allow_headers=["*"] in production is an unnecessary attack surface. Restrict to GET, POST, PUT, DELETE and specific headers (Content-Type, Authorization).</w:t>
      </w:r>
    </w:p>
    <w:p>
      <w:pPr>
        <w:pStyle w:val="Heading3"/>
      </w:pPr>
      <w:r>
        <w:t xml:space="preserve">Hardcoded Database Credentials</w:t>
      </w:r>
    </w:p>
    <w:p>
      <w:pPr>
        <w:spacing w:after="120"/>
      </w:pPr>
      <w:r>
        <w:rPr>
          <w:rFonts w:ascii="Arial" w:cs="Arial" w:eastAsia="Arial" w:hAnsi="Arial"/>
          <w:sz w:val="22"/>
          <w:szCs w:val="22"/>
        </w:rPr>
        <w:t xml:space="preserve">The default DATABASE_URL in db.py contains plaintext credentials (vancity:vancity_dev). While fine for local dev, this pattern risks accidental deployment with default credentials. Move to strict env-var-only configuration with no fallback default.</w:t>
      </w:r>
    </w:p>
    <w:p>
      <w:pPr>
        <w:pStyle w:val="Heading3"/>
      </w:pPr>
      <w:r>
        <w:t xml:space="preserve">No Security Headers</w:t>
      </w:r>
    </w:p>
    <w:p>
      <w:pPr>
        <w:spacing w:after="120"/>
      </w:pPr>
      <w:r>
        <w:rPr>
          <w:rFonts w:ascii="Arial" w:cs="Arial" w:eastAsia="Arial" w:hAnsi="Arial"/>
          <w:sz w:val="22"/>
          <w:szCs w:val="22"/>
        </w:rPr>
        <w:t xml:space="preserve">Missing X-Content-Type-Options, X-Frame-Options, Strict-Transport-Security, Content-Security-Policy. Add via FastAPI middleware or reverse proxy configuration.</w:t>
      </w:r>
    </w:p>
    <w:p>
      <w:pPr>
        <w:pStyle w:val="Heading2"/>
      </w:pPr>
      <w:r>
        <w:t xml:space="preserve">2.3 Security Action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4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Admin endpoint auth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API key authentication to all /admin/* routes. Use env var for key.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Remove default DB credentials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Remove fallback DATABASE_URL. Require env var, fail loudly if missing.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Tighten CORS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Restrict allow_methods and allow_headers to explicit lists.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Security headers middleware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HSTS, X-Frame-Options, X-Content-Type-Options, CSP via middleware.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Rate limiting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slowapi or custom rate limiter to public endpoints (e.g., 60 req/min).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Multi-stage Docker build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Reduce API image from ~800MB to ~200MB. Separate build and runtime stages.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Structured logging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Replace print() with structlog. Add request_id, latency, error tracking.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Health check depth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Verify DB connection and table existence in /health, not just return ok.</w:t>
            </w:r>
          </w:p>
        </w:tc>
      </w:tr>
    </w:tbl>
    <w:p>
      <w:pPr>
        <w:spacing w:after="200"/>
      </w:pPr>
    </w:p>
    <w:p>
      <w:r>
        <w:br w:type="page"/>
      </w:r>
    </w:p>
    <w:p>
      <w:pPr>
        <w:pStyle w:val="Heading1"/>
      </w:pPr>
      <w:r>
        <w:t xml:space="preserve">3. Test Coverage &amp; E2E Validation</w:t>
      </w:r>
    </w:p>
    <w:p>
      <w:pPr>
        <w:pStyle w:val="Heading2"/>
      </w:pPr>
      <w:r>
        <w:t xml:space="preserve">3.1 Current Coverage</w:t>
      </w:r>
    </w:p>
    <w:p>
      <w:pPr>
        <w:spacing w:after="120"/>
      </w:pPr>
      <w:r>
        <w:rPr>
          <w:rFonts w:ascii="Arial" w:cs="Arial" w:eastAsia="Arial" w:hAnsi="Arial"/>
          <w:sz w:val="22"/>
          <w:szCs w:val="22"/>
        </w:rPr>
        <w:t xml:space="preserve">The test suite includes 275 backend tests (pytest) and 20 frontend E2E tests (Playwright). All pass. However, analysis reveals significant structural gaps.</w:t>
      </w:r>
    </w:p>
    <w:p>
      <w:pPr>
        <w:pStyle w:val="Heading3"/>
      </w:pPr>
      <w:r>
        <w:t xml:space="preserve">Well-Covered Areas</w:t>
      </w:r>
    </w:p>
    <w:p>
      <w:pPr>
        <w:pStyle w:val="ListParagraph"/>
        <w:numPr>
          <w:ilvl w:val="0"/>
          <w:numId w:val="2"/>
        </w:numPr>
        <w:spacing w:after="60"/>
      </w:pPr>
      <w:r>
        <w:rPr>
          <w:rFonts w:ascii="Arial" w:cs="Arial" w:eastAsia="Arial" w:hAnsi="Arial"/>
          <w:sz w:val="22"/>
          <w:szCs w:val="22"/>
        </w:rPr>
        <w:t xml:space="preserve">Intelligence models (Pydantic validation) — comprehensive</w:t>
      </w:r>
    </w:p>
    <w:p>
      <w:pPr>
        <w:pStyle w:val="ListParagraph"/>
        <w:numPr>
          <w:ilvl w:val="0"/>
          <w:numId w:val="2"/>
        </w:numPr>
        <w:spacing w:after="60"/>
      </w:pPr>
      <w:r>
        <w:rPr>
          <w:rFonts w:ascii="Arial" w:cs="Arial" w:eastAsia="Arial" w:hAnsi="Arial"/>
          <w:sz w:val="22"/>
          <w:szCs w:val="22"/>
        </w:rPr>
        <w:t xml:space="preserve">Neighborhood scoring algorithm (normalization, weights) — good</w:t>
      </w:r>
    </w:p>
    <w:p>
      <w:pPr>
        <w:pStyle w:val="ListParagraph"/>
        <w:numPr>
          <w:ilvl w:val="0"/>
          <w:numId w:val="2"/>
        </w:numPr>
        <w:spacing w:after="60"/>
      </w:pPr>
      <w:r>
        <w:rPr>
          <w:rFonts w:ascii="Arial" w:cs="Arial" w:eastAsia="Arial" w:hAnsi="Arial"/>
          <w:sz w:val="22"/>
          <w:szCs w:val="22"/>
        </w:rPr>
        <w:t xml:space="preserve">Open data scrapers (mock responses, error handling) — adequate</w:t>
      </w:r>
    </w:p>
    <w:p>
      <w:pPr>
        <w:pStyle w:val="ListParagraph"/>
        <w:numPr>
          <w:ilvl w:val="0"/>
          <w:numId w:val="2"/>
        </w:numPr>
        <w:spacing w:after="60"/>
      </w:pPr>
      <w:r>
        <w:rPr>
          <w:rFonts w:ascii="Arial" w:cs="Arial" w:eastAsia="Arial" w:hAnsi="Arial"/>
          <w:sz w:val="22"/>
          <w:szCs w:val="22"/>
        </w:rPr>
        <w:t xml:space="preserve">Chat and signal feed routes (mocked DB) — adequate</w:t>
      </w:r>
    </w:p>
    <w:p>
      <w:pPr>
        <w:spacing w:after="200"/>
      </w:pPr>
    </w:p>
    <w:p>
      <w:pPr>
        <w:pStyle w:val="Heading3"/>
      </w:pPr>
      <w:r>
        <w:t xml:space="preserve">Critical Coverage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Current Tests</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Gap</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api/admin.py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Admin routes completely untested. No auth, no scrape trigger, no data-status validation.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api/entitlement.py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core business logic (compute_entitlement) has zero unit tests. This is the most important function in the entire codebase.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api/hidden_costs.py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Hidden cost estimation untested. Risk of incorrect dollar amounts shown to users.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api/validation.py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Input validation logic untested.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 integration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All DB interactions are mocked. No tests verify actual SQL queries against a real database.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contract tests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 tests verify HTTP status codes, response schemas, or error formats.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External service failures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 tests for Cohere API failures, timeout handling, or degraded-mode behavior.</w:t>
            </w:r>
          </w:p>
        </w:tc>
      </w:tr>
    </w:tbl>
    <w:p>
      <w:pPr>
        <w:pStyle w:val="Heading2"/>
      </w:pPr>
      <w:r>
        <w:t xml:space="preserve">3.2 E2E Pipeline Gap</w:t>
      </w:r>
    </w:p>
    <w:p>
      <w:pPr>
        <w:spacing w:after="120"/>
      </w:pPr>
      <w:r>
        <w:rPr>
          <w:rFonts w:ascii="Arial" w:cs="Arial" w:eastAsia="Arial" w:hAnsi="Arial"/>
          <w:sz w:val="22"/>
          <w:szCs w:val="22"/>
        </w:rPr>
        <w:t xml:space="preserve">The intelligence pipeline has been tested in segments: scraping (mocked), parsing (unit tests), extraction (mocked LLM). But the complete flow from document ingestion through to a chat response citing that document has never been validated end-to-end. This is the highest-risk gap because the intelligence chat is the primary differentiator.</w:t>
      </w:r>
    </w:p>
    <w:p>
      <w:pPr>
        <w:pStyle w:val="Heading2"/>
      </w:pPr>
      <w:r>
        <w:t xml:space="preserve">3.3 Testing Action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4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Entitlement engine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50+ unit tests for compute_entitlement covering: normal parcels, edge cases (parcels in multiple TOA tiers), parcels with no TOA coverage, boundary conditions.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 integration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Use testcontainers-python to spin up real PostGIS + pgvector. Test actual SQL queries, spatial operations, vector search.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contract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 every endpoint for: correct status codes, response schema validation, error response format, parameter validation.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Admin route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 scrape triggers, data-status, auth enforcement (once auth is added).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Hidden costs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Verify cost estimation ranges, edge cases (no building, heritage building, contaminated site).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External failure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Mock Cohere/Claude API failures. Verify graceful degradation, retry logic, user-facing error messages.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E2E pipeline test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Full flow: ingest real PDF → parse → chunk → embed → extract signals → store → chat query → verify citation references correct document.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E2E hardening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strict assertions: verify parcel data values, scorecard numbers, map marker counts. Current tests are too loose.</w:t>
            </w:r>
          </w:p>
        </w:tc>
      </w:tr>
    </w:tbl>
    <w:p>
      <w:pPr>
        <w:spacing w:after="200"/>
      </w:pPr>
    </w:p>
    <w:p>
      <w:r>
        <w:br w:type="page"/>
      </w:r>
    </w:p>
    <w:p>
      <w:pPr>
        <w:pStyle w:val="Heading1"/>
      </w:pPr>
      <w:r>
        <w:t xml:space="preserve">4. Business Value Assessment</w:t>
      </w:r>
    </w:p>
    <w:p>
      <w:pPr>
        <w:pStyle w:val="Heading2"/>
      </w:pPr>
      <w:r>
        <w:t xml:space="preserve">4.1 Feature Completeness vs. Market Need</w:t>
      </w:r>
    </w:p>
    <w:p>
      <w:pPr>
        <w:spacing w:after="120"/>
      </w:pPr>
      <w:r>
        <w:rPr>
          <w:rFonts w:ascii="Arial" w:cs="Arial" w:eastAsia="Arial" w:hAnsi="Arial"/>
          <w:sz w:val="22"/>
          <w:szCs w:val="22"/>
        </w:rPr>
        <w:t xml:space="preserve">VanCity Lens has two layers: the V1 Entitlement Engine (85% production-ready) and the V2 Intelligence Platform (40% complete). The entitlement engine is functional and differentiated. The intelligence layer has solid architecture but zero real data, making it demo-only.</w:t>
      </w:r>
    </w:p>
    <w:p>
      <w:pPr>
        <w:pStyle w:val="Heading3"/>
      </w:pPr>
      <w:r>
        <w:t xml:space="preserve">Features That Work Today</w:t>
      </w:r>
    </w:p>
    <w:p>
      <w:pPr>
        <w:pStyle w:val="ListParagraph"/>
        <w:numPr>
          <w:ilvl w:val="0"/>
          <w:numId w:val="2"/>
        </w:numPr>
        <w:spacing w:after="60"/>
      </w:pPr>
      <w:r>
        <w:rPr>
          <w:rFonts w:ascii="Arial" w:cs="Arial" w:eastAsia="Arial" w:hAnsi="Arial"/>
          <w:sz w:val="22"/>
          <w:szCs w:val="22"/>
        </w:rPr>
        <w:t xml:space="preserve">Bill 47 entitlement calculation (spatial intersection, storey/FSR uplift) — 92K parcels</w:t>
      </w:r>
    </w:p>
    <w:p>
      <w:pPr>
        <w:pStyle w:val="ListParagraph"/>
        <w:numPr>
          <w:ilvl w:val="0"/>
          <w:numId w:val="2"/>
        </w:numPr>
        <w:spacing w:after="60"/>
      </w:pPr>
      <w:r>
        <w:rPr>
          <w:rFonts w:ascii="Arial" w:cs="Arial" w:eastAsia="Arial" w:hAnsi="Arial"/>
          <w:sz w:val="22"/>
          <w:szCs w:val="22"/>
        </w:rPr>
        <w:t xml:space="preserve">Interactive map with TOA buffer overlays and parcel popups</w:t>
      </w:r>
    </w:p>
    <w:p>
      <w:pPr>
        <w:pStyle w:val="ListParagraph"/>
        <w:numPr>
          <w:ilvl w:val="0"/>
          <w:numId w:val="2"/>
        </w:numPr>
        <w:spacing w:after="60"/>
      </w:pPr>
      <w:r>
        <w:rPr>
          <w:rFonts w:ascii="Arial" w:cs="Arial" w:eastAsia="Arial" w:hAnsi="Arial"/>
          <w:sz w:val="22"/>
          <w:szCs w:val="22"/>
        </w:rPr>
        <w:t xml:space="preserve">Value estimation (basic pro forma: lot area × FSR × price/sqft)</w:t>
      </w:r>
    </w:p>
    <w:p>
      <w:pPr>
        <w:pStyle w:val="ListParagraph"/>
        <w:numPr>
          <w:ilvl w:val="0"/>
          <w:numId w:val="2"/>
        </w:numPr>
        <w:spacing w:after="60"/>
      </w:pPr>
      <w:r>
        <w:rPr>
          <w:rFonts w:ascii="Arial" w:cs="Arial" w:eastAsia="Arial" w:hAnsi="Arial"/>
          <w:sz w:val="22"/>
          <w:szCs w:val="22"/>
        </w:rPr>
        <w:t xml:space="preserve">Hidden costs engine (demolition, environmental, soft soil, tenant displacement, CD-1 complexity)</w:t>
      </w:r>
    </w:p>
    <w:p>
      <w:pPr>
        <w:pStyle w:val="ListParagraph"/>
        <w:numPr>
          <w:ilvl w:val="0"/>
          <w:numId w:val="2"/>
        </w:numPr>
        <w:spacing w:after="60"/>
      </w:pPr>
      <w:r>
        <w:rPr>
          <w:rFonts w:ascii="Arial" w:cs="Arial" w:eastAsia="Arial" w:hAnsi="Arial"/>
          <w:sz w:val="22"/>
          <w:szCs w:val="22"/>
        </w:rPr>
        <w:t xml:space="preserve">Nearest station lookup and distance calculations</w:t>
      </w:r>
    </w:p>
    <w:p>
      <w:pPr>
        <w:pStyle w:val="ListParagraph"/>
        <w:numPr>
          <w:ilvl w:val="0"/>
          <w:numId w:val="2"/>
        </w:numPr>
        <w:spacing w:after="60"/>
      </w:pPr>
      <w:r>
        <w:rPr>
          <w:rFonts w:ascii="Arial" w:cs="Arial" w:eastAsia="Arial" w:hAnsi="Arial"/>
          <w:sz w:val="22"/>
          <w:szCs w:val="22"/>
        </w:rPr>
        <w:t xml:space="preserve">Neighborhood scorecards (22 areas, 8 categories, weighted composite)</w:t>
      </w:r>
    </w:p>
    <w:p>
      <w:pPr>
        <w:pStyle w:val="ListParagraph"/>
        <w:numPr>
          <w:ilvl w:val="0"/>
          <w:numId w:val="2"/>
        </w:numPr>
        <w:spacing w:after="60"/>
      </w:pPr>
      <w:r>
        <w:rPr>
          <w:rFonts w:ascii="Arial" w:cs="Arial" w:eastAsia="Arial" w:hAnsi="Arial"/>
          <w:sz w:val="22"/>
          <w:szCs w:val="22"/>
        </w:rPr>
        <w:t xml:space="preserve">Intelligence pipeline architecture (scrapers, PDF parsing, LLM extraction, hybrid search, chat)</w:t>
      </w:r>
    </w:p>
    <w:p>
      <w:pPr>
        <w:spacing w:after="200"/>
      </w:pPr>
    </w:p>
    <w:p>
      <w:pPr>
        <w:pStyle w:val="Heading3"/>
      </w:pPr>
      <w:r>
        <w:t xml:space="preserve">Critical Missing Features for Investment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Real data seeding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Intelligence layer has zero production documents. Chat returns no useful results. Must seed 200+ real Vancouver council/rezoning docs.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Comparable sales analysis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Colin's #1 question: “Is this price fair?” No market comps exist. Need 12 months of transaction data.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Financing calculator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Move beyond “land value = $X” to actual deal modeling: construction cost, financing, equity return, IRR.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Entitlement confidence scoring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Instead of “12 storeys guaranteed,” show “12 storeys (87% probability based on council voting patterns).”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Automated document refresh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One-time scrape is not a product. Need daily/weekly automated ingestion with freshness guarantees.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Community opposition signals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Extract approval rates, delay patterns, and NIMBY sentiment from council minutes.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Supply pipeline tracking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Answer: “How many units are under construction in this neighborhood?” Market saturation check.</w:t>
            </w:r>
          </w:p>
        </w:tc>
      </w:tr>
    </w:tbl>
    <w:p>
      <w:pPr>
        <w:pStyle w:val="Heading2"/>
      </w:pPr>
      <w:r>
        <w:t xml:space="preserve">4.2 Competitive Positioning</w:t>
      </w:r>
    </w:p>
    <w:p>
      <w:pPr>
        <w:spacing w:after="120"/>
      </w:pPr>
      <w:r>
        <w:rPr>
          <w:rFonts w:ascii="Arial" w:cs="Arial" w:eastAsia="Arial" w:hAnsi="Arial"/>
          <w:sz w:val="22"/>
          <w:szCs w:val="22"/>
        </w:rPr>
        <w:t xml:space="preserve">VanCity Lens has one genuine moat: the combination of Bill 47 automation and government document intelligence extraction. No Canadian competitor (CoStar, Zonda, Altus) is doing this at the parcel level. However, the moat is time-limited — a well-funded competitor could replicate the core engine in 3–4 months for approximately $200K.</w:t>
      </w:r>
    </w:p>
    <w:p>
      <w:pPr>
        <w:spacing w:after="120"/>
      </w:pPr>
      <w:r>
        <w:rPr>
          <w:rFonts w:ascii="Arial" w:cs="Arial" w:eastAsia="Arial" w:hAnsi="Arial"/>
          <w:b/>
          <w:bCs/>
          <w:sz w:val="22"/>
          <w:szCs w:val="22"/>
        </w:rPr>
        <w:t xml:space="preserve">Defensibility Strategy: </w:t>
      </w:r>
      <w:r>
        <w:rPr>
          <w:rFonts w:ascii="Arial" w:cs="Arial" w:eastAsia="Arial" w:hAnsi="Arial"/>
          <w:sz w:val="22"/>
          <w:szCs w:val="22"/>
        </w:rPr>
        <w:t xml:space="preserve">Move fast, seed real data, build a community of early-adopter investors who contribute deal outcomes and market intelligence. The network effect of community data is harder to replicate than the software itself.</w:t>
      </w:r>
    </w:p>
    <w:p>
      <w:pPr>
        <w:pStyle w:val="Heading2"/>
      </w:pPr>
      <w:r>
        <w:t xml:space="preserve">4.3 Revenue Model</w:t>
      </w:r>
    </w:p>
    <w:p>
      <w:pPr>
        <w:spacing w:after="120"/>
      </w:pPr>
      <w:r>
        <w:rPr>
          <w:rFonts w:ascii="Arial" w:cs="Arial" w:eastAsia="Arial" w:hAnsi="Arial"/>
          <w:sz w:val="22"/>
          <w:szCs w:val="22"/>
        </w:rPr>
        <w:t xml:space="preserve">The platform supports a tiered SaaS model targeting Vancouver real estate professionals. Estimated total addressable market in BC is approximately $4M annually.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Freemium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Free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Bill 47 lookups/month, map view, 1 neighborhood scorecard. Acquisition tool.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Starter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$99–$199/mo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20 analyses/month, intelligence chat (50 queries), signal feed, email alerts.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Professional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$399–$599/mo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Unlimited analyses + chat, comparable sales, weekly digest PDF, CSV export.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Enterprise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$1.5K–$3K/mo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access, bulk upload (100 parcels), custom scorecard weights, Slack/Zapier integration.</w:t>
            </w:r>
          </w:p>
        </w:tc>
      </w:tr>
    </w:tbl>
    <w:p>
      <w:pPr>
        <w:pStyle w:val="Heading2"/>
      </w:pPr>
      <w:r>
        <w:t xml:space="preserve">4.4 User Journey Gap Analysis</w:t>
      </w:r>
    </w:p>
    <w:p>
      <w:pPr>
        <w:spacing w:after="120"/>
      </w:pPr>
      <w:r>
        <w:rPr>
          <w:rFonts w:ascii="Arial" w:cs="Arial" w:eastAsia="Arial" w:hAnsi="Arial"/>
          <w:sz w:val="22"/>
          <w:szCs w:val="22"/>
        </w:rPr>
        <w:t xml:space="preserve">Testing the complete investor workflow reveals friction points that prevent the platform from being decision-ready:</w:t>
      </w:r>
    </w:p>
    <w:p>
      <w:pPr>
        <w:pStyle w:val="ListParagraph"/>
        <w:numPr>
          <w:ilvl w:val="0"/>
          <w:numId w:val="2"/>
        </w:numPr>
        <w:spacing w:after="60"/>
      </w:pPr>
      <w:r>
        <w:rPr>
          <w:rFonts w:ascii="Arial" w:cs="Arial" w:eastAsia="Arial" w:hAnsi="Arial"/>
          <w:b/>
          <w:bCs/>
          <w:sz w:val="22"/>
          <w:szCs w:val="22"/>
        </w:rPr>
        <w:t xml:space="preserve">Discovery: </w:t>
      </w:r>
      <w:r>
        <w:rPr>
          <w:rFonts w:ascii="Arial" w:cs="Arial" w:eastAsia="Arial" w:hAnsi="Arial"/>
          <w:sz w:val="22"/>
          <w:szCs w:val="22"/>
        </w:rPr>
        <w:t xml:space="preserve">Colin finds a listing on REW.ca. He needs to quickly look it up in VanCity Lens. Currently works via PID lookup, but most investors don’t know PIDs. Need address-based search.</w:t>
      </w:r>
    </w:p>
    <w:p>
      <w:pPr>
        <w:pStyle w:val="ListParagraph"/>
        <w:numPr>
          <w:ilvl w:val="0"/>
          <w:numId w:val="2"/>
        </w:numPr>
        <w:spacing w:after="60"/>
      </w:pPr>
      <w:r>
        <w:rPr>
          <w:rFonts w:ascii="Arial" w:cs="Arial" w:eastAsia="Arial" w:hAnsi="Arial"/>
          <w:b/>
          <w:bCs/>
          <w:sz w:val="22"/>
          <w:szCs w:val="22"/>
        </w:rPr>
        <w:t xml:space="preserve">Analysis: </w:t>
      </w:r>
      <w:r>
        <w:rPr>
          <w:rFonts w:ascii="Arial" w:cs="Arial" w:eastAsia="Arial" w:hAnsi="Arial"/>
          <w:sz w:val="22"/>
          <w:szCs w:val="22"/>
        </w:rPr>
        <w:t xml:space="preserve">Entitlement calculation works. Value estimation is a starting point. Hidden costs add depth. But no comparable sales means Colin can’t validate whether the asking price is fair.</w:t>
      </w:r>
    </w:p>
    <w:p>
      <w:pPr>
        <w:pStyle w:val="ListParagraph"/>
        <w:numPr>
          <w:ilvl w:val="0"/>
          <w:numId w:val="2"/>
        </w:numPr>
        <w:spacing w:after="60"/>
      </w:pPr>
      <w:r>
        <w:rPr>
          <w:rFonts w:ascii="Arial" w:cs="Arial" w:eastAsia="Arial" w:hAnsi="Arial"/>
          <w:b/>
          <w:bCs/>
          <w:sz w:val="22"/>
          <w:szCs w:val="22"/>
        </w:rPr>
        <w:t xml:space="preserve">Intelligence: </w:t>
      </w:r>
      <w:r>
        <w:rPr>
          <w:rFonts w:ascii="Arial" w:cs="Arial" w:eastAsia="Arial" w:hAnsi="Arial"/>
          <w:sz w:val="22"/>
          <w:szCs w:val="22"/>
        </w:rPr>
        <w:t xml:space="preserve">Chat returns nothing useful (no data seeded). Once seeded, this becomes the differentiator — “What did council decide about this area?”</w:t>
      </w:r>
    </w:p>
    <w:p>
      <w:pPr>
        <w:pStyle w:val="ListParagraph"/>
        <w:numPr>
          <w:ilvl w:val="0"/>
          <w:numId w:val="2"/>
        </w:numPr>
        <w:spacing w:after="60"/>
      </w:pPr>
      <w:r>
        <w:rPr>
          <w:rFonts w:ascii="Arial" w:cs="Arial" w:eastAsia="Arial" w:hAnsi="Arial"/>
          <w:b/>
          <w:bCs/>
          <w:sz w:val="22"/>
          <w:szCs w:val="22"/>
        </w:rPr>
        <w:t xml:space="preserve">Decision: </w:t>
      </w:r>
      <w:r>
        <w:rPr>
          <w:rFonts w:ascii="Arial" w:cs="Arial" w:eastAsia="Arial" w:hAnsi="Arial"/>
          <w:sz w:val="22"/>
          <w:szCs w:val="22"/>
        </w:rPr>
        <w:t xml:space="preserve">No financing model, no IRR calculation, no sensitivity analysis. Colin must use a spreadsheet for the actual investment decision. The platform informs but doesn’t close.</w:t>
      </w:r>
    </w:p>
    <w:p>
      <w:pPr>
        <w:pStyle w:val="ListParagraph"/>
        <w:numPr>
          <w:ilvl w:val="0"/>
          <w:numId w:val="2"/>
        </w:numPr>
        <w:spacing w:after="60"/>
      </w:pPr>
      <w:r>
        <w:rPr>
          <w:rFonts w:ascii="Arial" w:cs="Arial" w:eastAsia="Arial" w:hAnsi="Arial"/>
          <w:b/>
          <w:bCs/>
          <w:sz w:val="22"/>
          <w:szCs w:val="22"/>
        </w:rPr>
        <w:t xml:space="preserve">Action: </w:t>
      </w:r>
      <w:r>
        <w:rPr>
          <w:rFonts w:ascii="Arial" w:cs="Arial" w:eastAsia="Arial" w:hAnsi="Arial"/>
          <w:sz w:val="22"/>
          <w:szCs w:val="22"/>
        </w:rPr>
        <w:t xml:space="preserve">No deal tracking, no CRM integration, no “save to watchlist” with alerts. Each session is standalone.</w:t>
      </w:r>
    </w:p>
    <w:p>
      <w:pPr>
        <w:spacing w:after="200"/>
      </w:pPr>
    </w:p>
    <w:p>
      <w:r>
        <w:br w:type="page"/>
      </w:r>
    </w:p>
    <w:p>
      <w:pPr>
        <w:pStyle w:val="Heading1"/>
      </w:pPr>
      <w:r>
        <w:t xml:space="preserve">5. Consolidated Action Plan</w:t>
      </w:r>
    </w:p>
    <w:p>
      <w:pPr>
        <w:spacing w:after="120"/>
      </w:pPr>
      <w:r>
        <w:rPr>
          <w:rFonts w:ascii="Arial" w:cs="Arial" w:eastAsia="Arial" w:hAnsi="Arial"/>
          <w:sz w:val="22"/>
          <w:szCs w:val="22"/>
        </w:rPr>
        <w:t xml:space="preserve">All improvement items are organized into 6 priority tiers. Each tier should be completed sequentially, with Tier 0 being prerequisites for everything else.</w:t>
      </w:r>
    </w:p>
    <w:p>
      <w:pPr>
        <w:pStyle w:val="Heading2"/>
      </w:pPr>
      <w:r>
        <w:t xml:space="preserve">Tier 0 — Blockers (Must Fix Before Any Deployment)</w:t>
      </w:r>
    </w:p>
    <w:p>
      <w:pPr>
        <w:spacing w:after="120"/>
      </w:pPr>
      <w:r>
        <w:rPr>
          <w:rFonts w:ascii="Arial" w:cs="Arial" w:eastAsia="Arial" w:hAnsi="Arial"/>
          <w:sz w:val="22"/>
          <w:szCs w:val="22"/>
        </w:rPr>
        <w:t xml:space="preserve">Estimated effort: 5–7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000"/>
        <w:gridCol w:w="37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3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Admin endpoint authentication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Security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Unprotected admin routes are an immediate vulnerability.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Remove hardcoded DB credentials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Security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day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Prevent accidental production deployment with default password.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Entitlement engine unit tests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Core business logic is completely untested. Any bug here is a liability.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Tighten CORS configuration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Security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day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allow_methods=["*"] is unnecessary attack surface.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Deep health check</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Reliability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day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Verify DB connectivity, not just return {status: ok}.</w:t>
            </w:r>
          </w:p>
        </w:tc>
      </w:tr>
    </w:tbl>
    <w:p>
      <w:pPr>
        <w:spacing w:after="200"/>
      </w:pPr>
    </w:p>
    <w:p>
      <w:pPr>
        <w:pStyle w:val="Heading2"/>
      </w:pPr>
      <w:r>
        <w:t xml:space="preserve">Tier 1 — Foundation (Required for Alpha Testing)</w:t>
      </w:r>
    </w:p>
    <w:p>
      <w:pPr>
        <w:spacing w:after="120"/>
      </w:pPr>
      <w:r>
        <w:rPr>
          <w:rFonts w:ascii="Arial" w:cs="Arial" w:eastAsia="Arial" w:hAnsi="Arial"/>
          <w:sz w:val="22"/>
          <w:szCs w:val="22"/>
        </w:rPr>
        <w:t xml:space="preserve">Estimated effort: 10–14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000"/>
        <w:gridCol w:w="37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3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Seed 200+ real Vancouver gov documents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6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Intelligence layer is demo-only without real data. Chat returns nothing useful.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N+1 query fix for scorecards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Performance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88 queries per page load is unacceptable for any user-facing deployment.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 integration tests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All DB interactions are mocked. Must validate actual SQL against real PostGIS.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E2E pipeline validation test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Full flow: ingest → parse → chunk → embed → extract → chat query. Never been tested end-to-end.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Connection pool configuration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Performance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Pool max_size=10 will cause failures under any real load.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Security headers middleware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Security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 HSTS, CSP, X-Frame-Options for production readiness.</w:t>
            </w:r>
          </w:p>
        </w:tc>
      </w:tr>
    </w:tbl>
    <w:p>
      <w:pPr>
        <w:spacing w:after="200"/>
      </w:pPr>
    </w:p>
    <w:p>
      <w:pPr>
        <w:pStyle w:val="Heading2"/>
      </w:pPr>
      <w:r>
        <w:t xml:space="preserve">Tier 2 — Product Completeness (Required for Paid Launch)</w:t>
      </w:r>
    </w:p>
    <w:p>
      <w:pPr>
        <w:spacing w:after="120"/>
      </w:pPr>
      <w:r>
        <w:rPr>
          <w:rFonts w:ascii="Arial" w:cs="Arial" w:eastAsia="Arial" w:hAnsi="Arial"/>
          <w:sz w:val="22"/>
          <w:szCs w:val="22"/>
        </w:rPr>
        <w:t xml:space="preserve">Estimated effort: 12–16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000"/>
        <w:gridCol w:w="37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3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Response caching (Redis/in-memory)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Performance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TOA GeoJSON, scorecards, and opportunities regenerate every request.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Comparable sales baseline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6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Critical for user trust. Must answer: “Is this price fair?”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contract tests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Verify HTTP status codes, response schemas, error formats for all endpoints.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Admin + hidden costs tests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Fill remaining zero-coverage modules.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Automated document refresh</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Cron-based daily/weekly scraping with deduplication.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Rate limiting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Security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Prevent abuse of public endpoints.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Address-based parcel search</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Investors know addresses, not PIDs. Add civic address search.</w:t>
            </w:r>
          </w:p>
        </w:tc>
      </w:tr>
    </w:tbl>
    <w:p>
      <w:pPr>
        <w:spacing w:after="200"/>
      </w:pPr>
    </w:p>
    <w:p>
      <w:pPr>
        <w:pStyle w:val="Heading2"/>
      </w:pPr>
      <w:r>
        <w:t xml:space="preserve">Tier 3 — Differentiation (Competitive Edge)</w:t>
      </w:r>
    </w:p>
    <w:p>
      <w:pPr>
        <w:spacing w:after="120"/>
      </w:pPr>
      <w:r>
        <w:rPr>
          <w:rFonts w:ascii="Arial" w:cs="Arial" w:eastAsia="Arial" w:hAnsi="Arial"/>
          <w:sz w:val="22"/>
          <w:szCs w:val="22"/>
        </w:rPr>
        <w:t xml:space="preserve">Estimated effort: 10–14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000"/>
        <w:gridCol w:w="37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3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Financing calculator / deal modeling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Move from “land value” to “deal IRR.” Converts browser into buyer.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Entitlement confidence scoring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Show probability of approval based on council voting patterns.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Parallel document processing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Performance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Batch ingestion with semaphore-bounded concurrency.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Structured logging (structlog)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Operations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Replace print() with structured, searchable logs.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External service failure tests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Graceful degradation when Cohere/Claude APIs fail.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E2E hardening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Strict assertions on data values, not just page load.</w:t>
            </w:r>
          </w:p>
        </w:tc>
      </w:tr>
    </w:tbl>
    <w:p>
      <w:pPr>
        <w:spacing w:after="200"/>
      </w:pPr>
    </w:p>
    <w:p>
      <w:pPr>
        <w:pStyle w:val="Heading2"/>
      </w:pPr>
      <w:r>
        <w:t xml:space="preserve">Tier 4 — Scale &amp; Polish</w:t>
      </w:r>
    </w:p>
    <w:p>
      <w:pPr>
        <w:spacing w:after="120"/>
      </w:pPr>
      <w:r>
        <w:rPr>
          <w:rFonts w:ascii="Arial" w:cs="Arial" w:eastAsia="Arial" w:hAnsi="Arial"/>
          <w:sz w:val="22"/>
          <w:szCs w:val="22"/>
        </w:rPr>
        <w:t xml:space="preserve">Estimated effort: 8–12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000"/>
        <w:gridCol w:w="37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3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Multi-stage Docker build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Operations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day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Reduce image from ~800MB to ~200MB.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Community opposition scoring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Extract sentiment from council minutes for approval prediction.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Supply pipeline tracking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Show competing projects in neighborhood.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Weekly digest email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Passive engagement: “3 new signals in your watchlist.”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Batch embedding optimization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Performance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Batch Cohere calls (96 texts per request).</w:t>
            </w:r>
          </w:p>
        </w:tc>
      </w:tr>
    </w:tbl>
    <w:p>
      <w:pPr>
        <w:spacing w:after="200"/>
      </w:pPr>
    </w:p>
    <w:p>
      <w:pPr>
        <w:pStyle w:val="Heading2"/>
      </w:pPr>
      <w:r>
        <w:t xml:space="preserve">Tier 5 — Enterprise &amp; Monetization</w:t>
      </w:r>
    </w:p>
    <w:p>
      <w:pPr>
        <w:spacing w:after="120"/>
      </w:pPr>
      <w:r>
        <w:rPr>
          <w:rFonts w:ascii="Arial" w:cs="Arial" w:eastAsia="Arial" w:hAnsi="Arial"/>
          <w:sz w:val="22"/>
          <w:szCs w:val="22"/>
        </w:rPr>
        <w:t xml:space="preserve">Estimated effort: 8–12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000"/>
        <w:gridCol w:w="37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3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Pricing tiers + Stripe integration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Freemium gating, usage metering, subscription management.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access (developer tier)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Programmatic entitlement lookup for enterprise integrations.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Bulk parcel upload + analysis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Analyze 50–100 parcels in one batch.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CRM integration (Zapier/Slack)</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Business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Alert → Slack/Airtable/Salesforce. Embed in workflow.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Observability (Prometheus/Grafana)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Operations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 days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Metrics, dashboards, alerting for production monitoring.</w:t>
            </w:r>
          </w:p>
        </w:tc>
      </w:tr>
    </w:tbl>
    <w:p>
      <w:pPr>
        <w:spacing w:after="200"/>
      </w:pPr>
    </w:p>
    <w:p>
      <w:r>
        <w:br w:type="page"/>
      </w:r>
    </w:p>
    <w:p>
      <w:pPr>
        <w:pStyle w:val="Heading1"/>
      </w:pPr>
      <w:r>
        <w:t xml:space="preserve">6. Recommended Execution Timeline</w:t>
      </w:r>
    </w:p>
    <w:p>
      <w:pPr>
        <w:pStyle w:val="Heading2"/>
      </w:pPr>
      <w:r>
        <w:t xml:space="preserve">Phase 0: Validate &amp; Harden (Weeks 1–2)</w:t>
      </w:r>
    </w:p>
    <w:p>
      <w:pPr>
        <w:spacing w:after="120"/>
      </w:pPr>
      <w:r>
        <w:rPr>
          <w:rFonts w:ascii="Arial" w:cs="Arial" w:eastAsia="Arial" w:hAnsi="Arial"/>
          <w:sz w:val="22"/>
          <w:szCs w:val="22"/>
        </w:rPr>
        <w:t xml:space="preserve">Complete Tier 0 security fixes and entitlement tests. Validate the core business logic works correctly against 50 real Vancouver parcels. This is the go/no-go gate.</w:t>
      </w:r>
    </w:p>
    <w:p>
      <w:pPr>
        <w:pStyle w:val="Heading2"/>
      </w:pPr>
      <w:r>
        <w:t xml:space="preserve">Phase 1: Seed &amp; Test (Weeks 3–6)</w:t>
      </w:r>
    </w:p>
    <w:p>
      <w:pPr>
        <w:spacing w:after="120"/>
      </w:pPr>
      <w:r>
        <w:rPr>
          <w:rFonts w:ascii="Arial" w:cs="Arial" w:eastAsia="Arial" w:hAnsi="Arial"/>
          <w:sz w:val="22"/>
          <w:szCs w:val="22"/>
        </w:rPr>
        <w:t xml:space="preserve">Seed 200+ real government documents. Build database integration tests. Run the first complete E2E pipeline test (document ingestion through chat response with citation). Fix the N+1 query. Configure connection pooling. This phase ends with a working alpha that can answer real questions about real Vancouver parcels.</w:t>
      </w:r>
    </w:p>
    <w:p>
      <w:pPr>
        <w:pStyle w:val="Heading2"/>
      </w:pPr>
      <w:r>
        <w:t xml:space="preserve">Phase 2: Product Completeness (Weeks 7–10)</w:t>
      </w:r>
    </w:p>
    <w:p>
      <w:pPr>
        <w:spacing w:after="120"/>
      </w:pPr>
      <w:r>
        <w:rPr>
          <w:rFonts w:ascii="Arial" w:cs="Arial" w:eastAsia="Arial" w:hAnsi="Arial"/>
          <w:sz w:val="22"/>
          <w:szCs w:val="22"/>
        </w:rPr>
        <w:t xml:space="preserve">Add comparable sales, address-based search, response caching, and automated document refresh. Build API contract tests and fill remaining coverage gaps. This phase ends with a product that can support 50–100 alpha testers making real investment evaluations.</w:t>
      </w:r>
    </w:p>
    <w:p>
      <w:pPr>
        <w:pStyle w:val="Heading2"/>
      </w:pPr>
      <w:r>
        <w:t xml:space="preserve">Phase 3: Differentiate &amp; Launch (Weeks 11–14)</w:t>
      </w:r>
    </w:p>
    <w:p>
      <w:pPr>
        <w:spacing w:after="120"/>
      </w:pPr>
      <w:r>
        <w:rPr>
          <w:rFonts w:ascii="Arial" w:cs="Arial" w:eastAsia="Arial" w:hAnsi="Arial"/>
          <w:sz w:val="22"/>
          <w:szCs w:val="22"/>
        </w:rPr>
        <w:t xml:space="preserve">Add financing calculator, entitlement confidence scoring, and community opposition signals. Harden frontend tests. This phase ends with a differentiated product ready for paid launch.</w:t>
      </w:r>
    </w:p>
    <w:p>
      <w:pPr>
        <w:pStyle w:val="Heading2"/>
      </w:pPr>
      <w:r>
        <w:t xml:space="preserve">Phase 4: Scale (Weeks 15–18)</w:t>
      </w:r>
    </w:p>
    <w:p>
      <w:pPr>
        <w:spacing w:after="120"/>
      </w:pPr>
      <w:r>
        <w:rPr>
          <w:rFonts w:ascii="Arial" w:cs="Arial" w:eastAsia="Arial" w:hAnsi="Arial"/>
          <w:sz w:val="22"/>
          <w:szCs w:val="22"/>
        </w:rPr>
        <w:t xml:space="preserve">Add enterprise features (API access, bulk upload, CRM integration), observability, and pricing infrastructure. This phase ends with a product ready for growth beyond early adopters.</w:t>
      </w:r>
    </w:p>
    <w:p>
      <w:pPr>
        <w:spacing w:after="200"/>
      </w:pPr>
    </w:p>
    <w:p>
      <w:pPr>
        <w:pStyle w:val="Heading1"/>
      </w:pPr>
      <w:r>
        <w:t xml:space="preserve">7. Features to Cut or Defer</w:t>
      </w:r>
    </w:p>
    <w:p>
      <w:pPr>
        <w:spacing w:after="120"/>
      </w:pPr>
      <w:r>
        <w:rPr>
          <w:rFonts w:ascii="Arial" w:cs="Arial" w:eastAsia="Arial" w:hAnsi="Arial"/>
          <w:sz w:val="22"/>
          <w:szCs w:val="22"/>
        </w:rPr>
        <w:t xml:space="preserve">To maintain focus on the critical path, the following features should be explicitly deferred beyond the 18-week roadmap:</w:t>
      </w:r>
    </w:p>
    <w:p>
      <w:pPr>
        <w:pStyle w:val="ListParagraph"/>
        <w:numPr>
          <w:ilvl w:val="0"/>
          <w:numId w:val="2"/>
        </w:numPr>
        <w:spacing w:after="60"/>
      </w:pPr>
      <w:r>
        <w:rPr>
          <w:rFonts w:ascii="Arial" w:cs="Arial" w:eastAsia="Arial" w:hAnsi="Arial"/>
          <w:b/>
          <w:bCs/>
          <w:sz w:val="22"/>
          <w:szCs w:val="22"/>
        </w:rPr>
        <w:t xml:space="preserve">View cone protection logic: </w:t>
      </w:r>
      <w:r>
        <w:rPr>
          <w:rFonts w:ascii="Arial" w:cs="Arial" w:eastAsia="Arial" w:hAnsi="Arial"/>
          <w:sz w:val="22"/>
          <w:szCs w:val="22"/>
        </w:rPr>
        <w:t xml:space="preserve">Add only after validating that 20%+ of target parcels are affected. Currently speculative.</w:t>
      </w:r>
    </w:p>
    <w:p>
      <w:pPr>
        <w:pStyle w:val="ListParagraph"/>
        <w:numPr>
          <w:ilvl w:val="0"/>
          <w:numId w:val="2"/>
        </w:numPr>
        <w:spacing w:after="60"/>
      </w:pPr>
      <w:r>
        <w:rPr>
          <w:rFonts w:ascii="Arial" w:cs="Arial" w:eastAsia="Arial" w:hAnsi="Arial"/>
          <w:b/>
          <w:bCs/>
          <w:sz w:val="22"/>
          <w:szCs w:val="22"/>
        </w:rPr>
        <w:t xml:space="preserve">Non-market housing layer: </w:t>
      </w:r>
      <w:r>
        <w:rPr>
          <w:rFonts w:ascii="Arial" w:cs="Arial" w:eastAsia="Arial" w:hAnsi="Arial"/>
          <w:sz w:val="22"/>
          <w:szCs w:val="22"/>
        </w:rPr>
        <w:t xml:space="preserve">Interesting for policy analysis but not for the investment use case. Year 2.</w:t>
      </w:r>
    </w:p>
    <w:p>
      <w:pPr>
        <w:pStyle w:val="ListParagraph"/>
        <w:numPr>
          <w:ilvl w:val="0"/>
          <w:numId w:val="2"/>
        </w:numPr>
        <w:spacing w:after="60"/>
      </w:pPr>
      <w:r>
        <w:rPr>
          <w:rFonts w:ascii="Arial" w:cs="Arial" w:eastAsia="Arial" w:hAnsi="Arial"/>
          <w:b/>
          <w:bCs/>
          <w:sz w:val="22"/>
          <w:szCs w:val="22"/>
        </w:rPr>
        <w:t xml:space="preserve">Predictive zoning change modeling: </w:t>
      </w:r>
      <w:r>
        <w:rPr>
          <w:rFonts w:ascii="Arial" w:cs="Arial" w:eastAsia="Arial" w:hAnsi="Arial"/>
          <w:sz w:val="22"/>
          <w:szCs w:val="22"/>
        </w:rPr>
        <w:t xml:space="preserve">Requires historical zoning data + time series ML. High effort, uncertain value. Year 2.</w:t>
      </w:r>
    </w:p>
    <w:p>
      <w:pPr>
        <w:pStyle w:val="ListParagraph"/>
        <w:numPr>
          <w:ilvl w:val="0"/>
          <w:numId w:val="2"/>
        </w:numPr>
        <w:spacing w:after="60"/>
      </w:pPr>
      <w:r>
        <w:rPr>
          <w:rFonts w:ascii="Arial" w:cs="Arial" w:eastAsia="Arial" w:hAnsi="Arial"/>
          <w:b/>
          <w:bCs/>
          <w:sz w:val="22"/>
          <w:szCs w:val="22"/>
        </w:rPr>
        <w:t xml:space="preserve">Construction cost database: </w:t>
      </w:r>
      <w:r>
        <w:rPr>
          <w:rFonts w:ascii="Arial" w:cs="Arial" w:eastAsia="Arial" w:hAnsi="Arial"/>
          <w:sz w:val="22"/>
          <w:szCs w:val="22"/>
        </w:rPr>
        <w:t xml:space="preserve">Contractors already have this. Low marginal value. Year 2.</w:t>
      </w:r>
    </w:p>
    <w:p>
      <w:pPr>
        <w:pStyle w:val="ListParagraph"/>
        <w:numPr>
          <w:ilvl w:val="0"/>
          <w:numId w:val="2"/>
        </w:numPr>
        <w:spacing w:after="60"/>
      </w:pPr>
      <w:r>
        <w:rPr>
          <w:rFonts w:ascii="Arial" w:cs="Arial" w:eastAsia="Arial" w:hAnsi="Arial"/>
          <w:b/>
          <w:bCs/>
          <w:sz w:val="22"/>
          <w:szCs w:val="22"/>
        </w:rPr>
        <w:t xml:space="preserve">Mobile native app: </w:t>
      </w:r>
      <w:r>
        <w:rPr>
          <w:rFonts w:ascii="Arial" w:cs="Arial" w:eastAsia="Arial" w:hAnsi="Arial"/>
          <w:sz w:val="22"/>
          <w:szCs w:val="22"/>
        </w:rPr>
        <w:t xml:space="preserve">Responsive web is sufficient for alpha. Native app only if demand warrants. Year 2.</w:t>
      </w:r>
    </w:p>
    <w:p>
      <w:pPr>
        <w:pStyle w:val="ListParagraph"/>
        <w:numPr>
          <w:ilvl w:val="0"/>
          <w:numId w:val="2"/>
        </w:numPr>
        <w:spacing w:after="60"/>
      </w:pPr>
      <w:r>
        <w:rPr>
          <w:rFonts w:ascii="Arial" w:cs="Arial" w:eastAsia="Arial" w:hAnsi="Arial"/>
          <w:b/>
          <w:bCs/>
          <w:sz w:val="22"/>
          <w:szCs w:val="22"/>
        </w:rPr>
        <w:t xml:space="preserve">Advanced scorecard weight customization: </w:t>
      </w:r>
      <w:r>
        <w:rPr>
          <w:rFonts w:ascii="Arial" w:cs="Arial" w:eastAsia="Arial" w:hAnsi="Arial"/>
          <w:sz w:val="22"/>
          <w:szCs w:val="22"/>
        </w:rPr>
        <w:t xml:space="preserve">Build generic weights first. Power-user customization in Year 2.</w:t>
      </w:r>
    </w:p>
    <w:p>
      <w:pPr>
        <w:spacing w:after="200"/>
      </w:pPr>
    </w:p>
    <w:p>
      <w:r>
        <w:br w:type="page"/>
      </w:r>
    </w:p>
    <w:p>
      <w:pPr>
        <w:pStyle w:val="Heading1"/>
      </w:pPr>
      <w:r>
        <w:t xml:space="preserve">Appendix: Current System Status</w:t>
      </w:r>
    </w:p>
    <w:p>
      <w:pPr>
        <w:pStyle w:val="Heading2"/>
      </w:pPr>
      <w:r>
        <w:t xml:space="preserve">Infrastructure</w:t>
      </w:r>
    </w:p>
    <w:p>
      <w:pPr>
        <w:pStyle w:val="ListParagraph"/>
        <w:numPr>
          <w:ilvl w:val="0"/>
          <w:numId w:val="2"/>
        </w:numPr>
        <w:spacing w:after="60"/>
      </w:pPr>
      <w:r>
        <w:rPr>
          <w:rFonts w:ascii="Arial" w:cs="Arial" w:eastAsia="Arial" w:hAnsi="Arial"/>
          <w:sz w:val="22"/>
          <w:szCs w:val="22"/>
        </w:rPr>
        <w:t xml:space="preserve">Docker services: 3 containers running (vancity_postgis healthy, vancity_api, vancity_frontend)</w:t>
      </w:r>
    </w:p>
    <w:p>
      <w:pPr>
        <w:pStyle w:val="ListParagraph"/>
        <w:numPr>
          <w:ilvl w:val="0"/>
          <w:numId w:val="2"/>
        </w:numPr>
        <w:spacing w:after="60"/>
      </w:pPr>
      <w:r>
        <w:rPr>
          <w:rFonts w:ascii="Arial" w:cs="Arial" w:eastAsia="Arial" w:hAnsi="Arial"/>
          <w:sz w:val="22"/>
          <w:szCs w:val="22"/>
        </w:rPr>
        <w:t xml:space="preserve">Database: PostGIS 16 + pgvector 0.8.1, 25 tables, 92,046 parcels loaded</w:t>
      </w:r>
    </w:p>
    <w:p>
      <w:pPr>
        <w:pStyle w:val="ListParagraph"/>
        <w:numPr>
          <w:ilvl w:val="0"/>
          <w:numId w:val="2"/>
        </w:numPr>
        <w:spacing w:after="60"/>
      </w:pPr>
      <w:r>
        <w:rPr>
          <w:rFonts w:ascii="Arial" w:cs="Arial" w:eastAsia="Arial" w:hAnsi="Arial"/>
          <w:sz w:val="22"/>
          <w:szCs w:val="22"/>
        </w:rPr>
        <w:t xml:space="preserve">Neighborhoods: 22 Vancouver local areas seeded with 8 scoring weight categories</w:t>
      </w:r>
    </w:p>
    <w:p>
      <w:pPr>
        <w:pStyle w:val="ListParagraph"/>
        <w:numPr>
          <w:ilvl w:val="0"/>
          <w:numId w:val="2"/>
        </w:numPr>
        <w:spacing w:after="60"/>
      </w:pPr>
      <w:r>
        <w:rPr>
          <w:rFonts w:ascii="Arial" w:cs="Arial" w:eastAsia="Arial" w:hAnsi="Arial"/>
          <w:sz w:val="22"/>
          <w:szCs w:val="22"/>
        </w:rPr>
        <w:t xml:space="preserve">API: FastAPI 0.115.6 on uvicorn, all endpoints responding</w:t>
      </w:r>
    </w:p>
    <w:p>
      <w:pPr>
        <w:pStyle w:val="ListParagraph"/>
        <w:numPr>
          <w:ilvl w:val="0"/>
          <w:numId w:val="2"/>
        </w:numPr>
        <w:spacing w:after="60"/>
      </w:pPr>
      <w:r>
        <w:rPr>
          <w:rFonts w:ascii="Arial" w:cs="Arial" w:eastAsia="Arial" w:hAnsi="Arial"/>
          <w:sz w:val="22"/>
          <w:szCs w:val="22"/>
        </w:rPr>
        <w:t xml:space="preserve">Frontend: Next.js 15 on port 3000, map + neighborhoods tabs functional</w:t>
      </w:r>
    </w:p>
    <w:p>
      <w:pPr>
        <w:pStyle w:val="ListParagraph"/>
        <w:numPr>
          <w:ilvl w:val="0"/>
          <w:numId w:val="2"/>
        </w:numPr>
        <w:spacing w:after="60"/>
      </w:pPr>
      <w:r>
        <w:rPr>
          <w:rFonts w:ascii="Arial" w:cs="Arial" w:eastAsia="Arial" w:hAnsi="Arial"/>
          <w:sz w:val="22"/>
          <w:szCs w:val="22"/>
        </w:rPr>
        <w:t xml:space="preserve">Git: commit a62e652 on main, pushed to github.com/gemini2026/vancity-lens</w:t>
      </w:r>
    </w:p>
    <w:p>
      <w:pPr>
        <w:spacing w:after="200"/>
      </w:pPr>
    </w:p>
    <w:p>
      <w:pPr>
        <w:pStyle w:val="Heading2"/>
      </w:pPr>
      <w:r>
        <w:t xml:space="preserve">Test Results</w:t>
      </w:r>
    </w:p>
    <w:p>
      <w:pPr>
        <w:pStyle w:val="ListParagraph"/>
        <w:numPr>
          <w:ilvl w:val="0"/>
          <w:numId w:val="2"/>
        </w:numPr>
        <w:spacing w:after="60"/>
      </w:pPr>
      <w:r>
        <w:rPr>
          <w:rFonts w:ascii="Arial" w:cs="Arial" w:eastAsia="Arial" w:hAnsi="Arial"/>
          <w:sz w:val="22"/>
          <w:szCs w:val="22"/>
        </w:rPr>
        <w:t xml:space="preserve">Backend: 275 tests passing (pytest)</w:t>
      </w:r>
    </w:p>
    <w:p>
      <w:pPr>
        <w:pStyle w:val="ListParagraph"/>
        <w:numPr>
          <w:ilvl w:val="0"/>
          <w:numId w:val="2"/>
        </w:numPr>
        <w:spacing w:after="60"/>
      </w:pPr>
      <w:r>
        <w:rPr>
          <w:rFonts w:ascii="Arial" w:cs="Arial" w:eastAsia="Arial" w:hAnsi="Arial"/>
          <w:sz w:val="22"/>
          <w:szCs w:val="22"/>
        </w:rPr>
        <w:t xml:space="preserve">Frontend: 20 E2E tests passing (Playwright)</w:t>
      </w:r>
    </w:p>
    <w:p>
      <w:pPr>
        <w:pStyle w:val="ListParagraph"/>
        <w:numPr>
          <w:ilvl w:val="0"/>
          <w:numId w:val="2"/>
        </w:numPr>
        <w:spacing w:after="60"/>
      </w:pPr>
      <w:r>
        <w:rPr>
          <w:rFonts w:ascii="Arial" w:cs="Arial" w:eastAsia="Arial" w:hAnsi="Arial"/>
          <w:sz w:val="22"/>
          <w:szCs w:val="22"/>
        </w:rPr>
        <w:t xml:space="preserve">Coverage gaps: admin.py (0), entitlement.py (0), hidden_costs.py (0), validation.py (0), DB integration (0)</w:t>
      </w:r>
    </w:p>
    <w:p>
      <w:pPr>
        <w:spacing w:after="200"/>
      </w:pPr>
    </w:p>
    <w:p>
      <w:pPr>
        <w:pStyle w:val="Heading2"/>
      </w:pPr>
      <w:r>
        <w:t xml:space="preserve">Verified Endpoints</w:t>
      </w:r>
    </w:p>
    <w:p>
      <w:pPr>
        <w:pStyle w:val="ListParagraph"/>
        <w:numPr>
          <w:ilvl w:val="0"/>
          <w:numId w:val="2"/>
        </w:numPr>
        <w:spacing w:after="60"/>
      </w:pPr>
      <w:r>
        <w:rPr>
          <w:rFonts w:ascii="Arial" w:cs="Arial" w:eastAsia="Arial" w:hAnsi="Arial"/>
          <w:sz w:val="22"/>
          <w:szCs w:val="22"/>
        </w:rPr>
        <w:t xml:space="preserve">GET /health → {status: ok, engine: bill47}</w:t>
      </w:r>
    </w:p>
    <w:p>
      <w:pPr>
        <w:pStyle w:val="ListParagraph"/>
        <w:numPr>
          <w:ilvl w:val="0"/>
          <w:numId w:val="2"/>
        </w:numPr>
        <w:spacing w:after="60"/>
      </w:pPr>
      <w:r>
        <w:rPr>
          <w:rFonts w:ascii="Arial" w:cs="Arial" w:eastAsia="Arial" w:hAnsi="Arial"/>
          <w:sz w:val="22"/>
          <w:szCs w:val="22"/>
        </w:rPr>
        <w:t xml:space="preserve">GET /api/v1/intel/neighborhoods/scorecards → 22 neighborhoods returned</w:t>
      </w:r>
    </w:p>
    <w:p>
      <w:pPr>
        <w:pStyle w:val="ListParagraph"/>
        <w:numPr>
          <w:ilvl w:val="0"/>
          <w:numId w:val="2"/>
        </w:numPr>
        <w:spacing w:after="60"/>
      </w:pPr>
      <w:r>
        <w:rPr>
          <w:rFonts w:ascii="Arial" w:cs="Arial" w:eastAsia="Arial" w:hAnsi="Arial"/>
          <w:sz w:val="22"/>
          <w:szCs w:val="22"/>
        </w:rPr>
        <w:t xml:space="preserve">GET /api/v1/intel/neighborhoods/downtown/scorecard → Full scorecard with 8 categories</w:t>
      </w:r>
    </w:p>
    <w:p>
      <w:pPr>
        <w:pStyle w:val="ListParagraph"/>
        <w:numPr>
          <w:ilvl w:val="0"/>
          <w:numId w:val="2"/>
        </w:numPr>
        <w:spacing w:after="60"/>
      </w:pPr>
      <w:r>
        <w:rPr>
          <w:rFonts w:ascii="Arial" w:cs="Arial" w:eastAsia="Arial" w:hAnsi="Arial"/>
          <w:sz w:val="22"/>
          <w:szCs w:val="22"/>
        </w:rPr>
        <w:t xml:space="preserve">GET /api/v1/intel/neighborhoods/compare?slugs=downtown,kitsilano,mount-pleasant → 3-way comparison</w:t>
      </w:r>
    </w:p>
    <w:p>
      <w:pPr>
        <w:pStyle w:val="ListParagraph"/>
        <w:numPr>
          <w:ilvl w:val="0"/>
          <w:numId w:val="2"/>
        </w:numPr>
        <w:spacing w:after="60"/>
      </w:pPr>
      <w:r>
        <w:rPr>
          <w:rFonts w:ascii="Arial" w:cs="Arial" w:eastAsia="Arial" w:hAnsi="Arial"/>
          <w:sz w:val="22"/>
          <w:szCs w:val="22"/>
        </w:rPr>
        <w:t xml:space="preserve">GET /api/v1/intel/stats → Signal statistics (empty, expected)</w:t>
      </w:r>
    </w:p>
    <w:p>
      <w:pPr>
        <w:pStyle w:val="ListParagraph"/>
        <w:numPr>
          <w:ilvl w:val="0"/>
          <w:numId w:val="2"/>
        </w:numPr>
        <w:spacing w:after="60"/>
      </w:pPr>
      <w:r>
        <w:rPr>
          <w:rFonts w:ascii="Arial" w:cs="Arial" w:eastAsia="Arial" w:hAnsi="Arial"/>
          <w:sz w:val="22"/>
          <w:szCs w:val="22"/>
        </w:rPr>
        <w:t xml:space="preserve">GET /api/v1/admin/data-status → 92,046 parcels, 419 with asking price</w:t>
      </w:r>
    </w:p>
    <w:p>
      <w:pPr>
        <w:pStyle w:val="ListParagraph"/>
        <w:numPr>
          <w:ilvl w:val="0"/>
          <w:numId w:val="2"/>
        </w:numPr>
        <w:spacing w:after="60"/>
      </w:pPr>
      <w:r>
        <w:rPr>
          <w:rFonts w:ascii="Arial" w:cs="Arial" w:eastAsia="Arial" w:hAnsi="Arial"/>
          <w:sz w:val="22"/>
          <w:szCs w:val="22"/>
        </w:rPr>
        <w:t xml:space="preserve">POST /api/v1/intel/admin/scrape-opendata → 6 scrapers triggered (external API failures expected in dev)</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VanCity Lens — Architecture &amp; Business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2C5F8A"/>
      <w:sz w:val="28"/>
      <w:szCs w:val="28"/>
    </w:rPr>
  </w:style>
  <w:style w:type="paragraph" w:styleId="Heading3">
    <w:name w:val="Heading 3"/>
    <w:basedOn w:val="Normal"/>
    <w:next w:val="Normal"/>
    <w:qFormat/>
    <w:pPr>
      <w:spacing w:before="180" w:after="120"/>
      <w:outlineLvl w:val="2"/>
    </w:pPr>
    <w:rPr>
      <w:rFonts w:ascii="Arial" w:cs="Arial" w:eastAsia="Arial" w:hAnsi="Arial"/>
      <w:b/>
      <w:bCs/>
      <w:color w:val="3A7A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2026-02-07T23:43:13.299Z</dcterms:created>
  <dcterms:modified xsi:type="dcterms:W3CDTF">2026-02-07T23:43:13.299Z</dcterms:modified>
</cp:coreProperties>
</file>

<file path=docProps/custom.xml><?xml version="1.0" encoding="utf-8"?>
<Properties xmlns="http://schemas.openxmlformats.org/officeDocument/2006/custom-properties" xmlns:vt="http://schemas.openxmlformats.org/officeDocument/2006/docPropsVTypes"/>
</file>