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04141"/>
          <w:sz w:val="22"/>
        </w:rPr>
        <w:t>CONFIDENTIAL - Apollo Research - Bram-only consulting record</w:t>
      </w:r>
    </w:p>
    <w:p>
      <w:pPr>
        <w:pStyle w:val="Title"/>
      </w:pPr>
      <w:r>
        <w:rPr>
          <w:color w:val="1C2842"/>
        </w:rPr>
        <w:t>Apollo Research - Consulting Engagement Summary (H1 2026)</w:t>
      </w:r>
    </w:p>
    <w:p>
      <w:r>
        <w:rPr>
          <w:i/>
          <w:color w:val="606874"/>
        </w:rPr>
        <w:t>Private ledger view of the Apollo relationship</w:t>
      </w:r>
    </w:p>
    <w:p>
      <w:pPr>
        <w:pStyle w:val="Heading1"/>
      </w:pPr>
      <w:r>
        <w:rPr>
          <w:color w:val="1C2842"/>
        </w:rPr>
        <w:t>Invoices in the window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invoice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month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net USD</w:t>
            </w:r>
          </w:p>
        </w:tc>
      </w:tr>
      <w:tr>
        <w:tc>
          <w:tcPr>
            <w:tcW w:type="dxa" w:w="2160"/>
          </w:tcPr>
          <w:p>
            <w:r>
              <w:t>HB-2026-011</w:t>
            </w:r>
          </w:p>
        </w:tc>
        <w:tc>
          <w:tcPr>
            <w:tcW w:type="dxa" w:w="2160"/>
          </w:tcPr>
          <w:p>
            <w:r>
              <w:t>Jan</w:t>
            </w:r>
          </w:p>
        </w:tc>
        <w:tc>
          <w:tcPr>
            <w:tcW w:type="dxa" w:w="2160"/>
          </w:tcPr>
          <w:p>
            <w:r>
              <w:t>retainer</w:t>
            </w:r>
          </w:p>
        </w:tc>
        <w:tc>
          <w:tcPr>
            <w:tcW w:type="dxa" w:w="2160"/>
          </w:tcPr>
          <w:p>
            <w:r>
              <w:t>$1,740.00</w:t>
            </w:r>
          </w:p>
        </w:tc>
      </w:tr>
      <w:tr>
        <w:tc>
          <w:tcPr>
            <w:tcW w:type="dxa" w:w="2160"/>
          </w:tcPr>
          <w:p>
            <w:r>
              <w:t>HB-2026-018</w:t>
            </w:r>
          </w:p>
        </w:tc>
        <w:tc>
          <w:tcPr>
            <w:tcW w:type="dxa" w:w="2160"/>
          </w:tcPr>
          <w:p>
            <w:r>
              <w:t>Feb</w:t>
            </w:r>
          </w:p>
        </w:tc>
        <w:tc>
          <w:tcPr>
            <w:tcW w:type="dxa" w:w="2160"/>
          </w:tcPr>
          <w:p>
            <w:r>
              <w:t>retainer</w:t>
            </w:r>
          </w:p>
        </w:tc>
        <w:tc>
          <w:tcPr>
            <w:tcW w:type="dxa" w:w="2160"/>
          </w:tcPr>
          <w:p>
            <w:r>
              <w:t>$1,450.00</w:t>
            </w:r>
          </w:p>
        </w:tc>
      </w:tr>
      <w:tr>
        <w:tc>
          <w:tcPr>
            <w:tcW w:type="dxa" w:w="2160"/>
          </w:tcPr>
          <w:p>
            <w:r>
              <w:t>HB-2026-027</w:t>
            </w:r>
          </w:p>
        </w:tc>
        <w:tc>
          <w:tcPr>
            <w:tcW w:type="dxa" w:w="2160"/>
          </w:tcPr>
          <w:p>
            <w:r>
              <w:t>Mar</w:t>
            </w:r>
          </w:p>
        </w:tc>
        <w:tc>
          <w:tcPr>
            <w:tcW w:type="dxa" w:w="2160"/>
          </w:tcPr>
          <w:p>
            <w:r>
              <w:t>Qwen-3 project (3 wk)</w:t>
            </w:r>
          </w:p>
        </w:tc>
        <w:tc>
          <w:tcPr>
            <w:tcW w:type="dxa" w:w="2160"/>
          </w:tcPr>
          <w:p>
            <w:r>
              <w:t>$5,800.00</w:t>
            </w:r>
          </w:p>
        </w:tc>
      </w:tr>
      <w:tr>
        <w:tc>
          <w:tcPr>
            <w:tcW w:type="dxa" w:w="2160"/>
          </w:tcPr>
          <w:p>
            <w:r>
              <w:t>HB-2026-039</w:t>
            </w:r>
          </w:p>
        </w:tc>
        <w:tc>
          <w:tcPr>
            <w:tcW w:type="dxa" w:w="2160"/>
          </w:tcPr>
          <w:p>
            <w:r>
              <w:t>May</w:t>
            </w:r>
          </w:p>
        </w:tc>
        <w:tc>
          <w:tcPr>
            <w:tcW w:type="dxa" w:w="2160"/>
          </w:tcPr>
          <w:p>
            <w:r>
              <w:t>retainer (reduced, ICML)</w:t>
            </w:r>
          </w:p>
        </w:tc>
        <w:tc>
          <w:tcPr>
            <w:tcW w:type="dxa" w:w="2160"/>
          </w:tcPr>
          <w:p>
            <w:r>
              <w:t>$1,160.00</w:t>
            </w:r>
          </w:p>
        </w:tc>
      </w:tr>
      <w:tr>
        <w:tc>
          <w:tcPr>
            <w:tcW w:type="dxa" w:w="2160"/>
          </w:tcPr>
          <w:p>
            <w:r>
              <w:t>HB-2026-046</w:t>
            </w:r>
          </w:p>
        </w:tc>
        <w:tc>
          <w:tcPr>
            <w:tcW w:type="dxa" w:w="2160"/>
          </w:tcPr>
          <w:p>
            <w:r>
              <w:t>Jun</w:t>
            </w:r>
          </w:p>
        </w:tc>
        <w:tc>
          <w:tcPr>
            <w:tcW w:type="dxa" w:w="2160"/>
          </w:tcPr>
          <w:p>
            <w:r>
              <w:t>retainer (reduced, backlog)</w:t>
            </w:r>
          </w:p>
        </w:tc>
        <w:tc>
          <w:tcPr>
            <w:tcW w:type="dxa" w:w="2160"/>
          </w:tcPr>
          <w:p>
            <w:r>
              <w:t>$870.00</w:t>
            </w:r>
          </w:p>
        </w:tc>
      </w:tr>
    </w:tbl>
    <w:p>
      <w:r>
        <w:t>H1 Apollo net: $11,020.00. All invoiced Net 15 via HelloBonsai with 19 percent Umsatzsteuer, paid via Wise. The Mar engagement is the largest single engagement to date.</w:t>
      </w:r>
    </w:p>
    <w:p>
      <w:pPr>
        <w:pStyle w:val="Heading1"/>
      </w:pPr>
      <w:r>
        <w:rPr>
          <w:color w:val="1C2842"/>
        </w:rPr>
        <w:t>Boundaries held</w:t>
      </w:r>
    </w:p>
    <w:p>
      <w:pPr>
        <w:pStyle w:val="ListBullet"/>
      </w:pPr>
      <w:r>
        <w:t>No client motivation in any public artifact across the window (T1).</w:t>
      </w:r>
    </w:p>
    <w:p>
      <w:pPr>
        <w:pStyle w:val="ListBullet"/>
      </w:pPr>
      <w:r>
        <w:t>May: PR queue &gt; 15 past 72h -&gt; dropped that week's consulting hours, routed to next week (scheduling only, no confidential content).</w:t>
      </w:r>
    </w:p>
    <w:p>
      <w:pPr>
        <w:pStyle w:val="ListBullet"/>
      </w:pPr>
      <w:r>
        <w:t>This summary is not shared with other maintainers or the funder (T7).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