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4141"/>
          <w:sz w:val="22"/>
        </w:rPr>
        <w:t>CONFIDENTIAL - Apollo Research - BRAM-ONLY. Do NOT paste into Claude Max. Do NOT forward outside the private client thread. Never reference in any public artifact (T1).</w:t>
      </w:r>
    </w:p>
    <w:p>
      <w:pPr>
        <w:pStyle w:val="Title"/>
      </w:pPr>
      <w:r>
        <w:rPr>
          <w:color w:val="1C2842"/>
        </w:rPr>
        <w:t>Private Engagement Brief - Qwen-3 Adapter</w:t>
      </w:r>
    </w:p>
    <w:p>
      <w:r>
        <w:rPr>
          <w:i/>
          <w:color w:val="606874"/>
        </w:rPr>
        <w:t>Client-confidential motivation and requirements (synthetic)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Apollo Research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4320"/>
          </w:tcPr>
          <w:p>
            <w:r>
              <w:t>Amara Kilmartin-Ranganathan (amara.kilmartin@apolloresearch.ai)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Received</w:t>
            </w:r>
          </w:p>
        </w:tc>
        <w:tc>
          <w:tcPr>
            <w:tcW w:type="dxa" w:w="4320"/>
          </w:tcPr>
          <w:p>
            <w:r>
              <w:t>2026-02-24 (private Bram-only thread)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Client-confidential; Bram-only consulting record</w:t>
            </w:r>
          </w:p>
        </w:tc>
      </w:tr>
    </w:tbl>
    <w:p>
      <w:pPr>
        <w:pStyle w:val="Heading1"/>
      </w:pPr>
      <w:r>
        <w:rPr>
          <w:color w:val="1C2842"/>
        </w:rPr>
        <w:t>1. Why the client needs this (confidential)</w:t>
      </w:r>
    </w:p>
    <w:p>
      <w:r>
        <w:t>Apollo is building an internal, unpublished evaluation pipeline and needs first-class HookedTransformer support for Qwen-3 so they can attach SAEs and activation patches at specific residual-stream and attention-head hook points on that family. The specific internal use-case and pipeline design are confidential and must not appear in the public PR, the release notes, a Discord post, an email to another maintainer or the funder, or any AI tool.</w:t>
      </w:r>
    </w:p>
    <w:p>
      <w:pPr>
        <w:pStyle w:val="Heading1"/>
      </w:pPr>
      <w:r>
        <w:rPr>
          <w:color w:val="1C2842"/>
        </w:rPr>
        <w:t>2. Technical requirements (become the public adapter)</w:t>
      </w:r>
    </w:p>
    <w:p>
      <w:pPr>
        <w:pStyle w:val="ListBullet"/>
      </w:pPr>
      <w:r>
        <w:t>Qwen-3 weight-conversion table with QK-norm handled correctly (the family's defining difference).</w:t>
      </w:r>
    </w:p>
    <w:p>
      <w:pPr>
        <w:pStyle w:val="ListBullet"/>
      </w:pPr>
      <w:r>
        <w:t>Stable hook names matching the LLaMA path so their existing tooling ports cleanly.</w:t>
      </w:r>
    </w:p>
    <w:p>
      <w:pPr>
        <w:pStyle w:val="ListBullet"/>
      </w:pPr>
      <w:r>
        <w:t>Acceptance test to 1e-4 absolute float32 logit match on the smallest public checkpoint.</w:t>
      </w:r>
    </w:p>
    <w:p>
      <w:pPr>
        <w:pStyle w:val="Heading1"/>
      </w:pPr>
      <w:r>
        <w:rPr>
          <w:color w:val="1C2842"/>
        </w:rPr>
        <w:t>3. Public / private split (the rule)</w:t>
      </w:r>
    </w:p>
    <w:p>
      <w:r>
        <w:t>The adapter CODE is public and lands upstream as a normal PR (#1078). The PR description states only what the code does. The client's motivation in section 1 stays here, in this Bram-only record. When drafting the conversion table with Claude Max, only the public HF Qwen-3 modeling file is pasted in; this brief is never pasted in (T1).</w:t>
      </w:r>
    </w:p>
    <w:p>
      <w:r>
        <w:t>[Synthetic brief for a work-universe scenario. No real proprietary content.]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