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04141"/>
          <w:sz w:val="22"/>
        </w:rPr>
        <w:t>CONFIDENTIAL - Apollo Research - Bram-only consulting record (not shared with other maintainers or the funder)</w:t>
      </w:r>
    </w:p>
    <w:p>
      <w:pPr>
        <w:pStyle w:val="Title"/>
      </w:pPr>
      <w:r>
        <w:rPr>
          <w:color w:val="1C2842"/>
        </w:rPr>
        <w:t>Statement of Work - Custom Qwen-3 Adapter and Hooks Integration</w:t>
      </w:r>
    </w:p>
    <w:p>
      <w:r>
        <w:rPr>
          <w:i/>
          <w:color w:val="606874"/>
        </w:rPr>
        <w:t>Client engagement (3 weeks); largest single engagement to date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Consultant</w:t>
            </w:r>
          </w:p>
        </w:tc>
        <w:tc>
          <w:tcPr>
            <w:tcW w:type="dxa" w:w="4320"/>
          </w:tcPr>
          <w:p>
            <w:r>
              <w:t>Bram Chen-Nakagawa (Independent ML Research Engineer, Berlin)</w:t>
            </w:r>
          </w:p>
        </w:tc>
      </w:tr>
      <w:tr>
        <w:tc>
          <w:tcPr>
            <w:tcW w:type="dxa" w:w="4320"/>
          </w:tcPr>
          <w:p>
            <w:r>
              <w:rPr>
                <w:b/>
              </w:rPr>
              <w:t>Client</w:t>
            </w:r>
          </w:p>
        </w:tc>
        <w:tc>
          <w:tcPr>
            <w:tcW w:type="dxa" w:w="4320"/>
          </w:tcPr>
          <w:p>
            <w:r>
              <w:t>Apollo Research</w:t>
            </w:r>
          </w:p>
        </w:tc>
      </w:tr>
      <w:tr>
        <w:tc>
          <w:tcPr>
            <w:tcW w:type="dxa" w:w="4320"/>
          </w:tcPr>
          <w:p>
            <w:r>
              <w:rPr>
                <w:b/>
              </w:rPr>
              <w:t>Client contact</w:t>
            </w:r>
          </w:p>
        </w:tc>
        <w:tc>
          <w:tcPr>
            <w:tcW w:type="dxa" w:w="4320"/>
          </w:tcPr>
          <w:p>
            <w:r>
              <w:t>Amara Kilmartin-Ranganathan (amara.kilmartin@apolloresearch.ai)</w:t>
            </w:r>
          </w:p>
        </w:tc>
      </w:tr>
      <w:tr>
        <w:tc>
          <w:tcPr>
            <w:tcW w:type="dxa" w:w="4320"/>
          </w:tcPr>
          <w:p>
            <w:r>
              <w:rPr>
                <w:b/>
              </w:rPr>
              <w:t>Engagement</w:t>
            </w:r>
          </w:p>
        </w:tc>
        <w:tc>
          <w:tcPr>
            <w:tcW w:type="dxa" w:w="4320"/>
          </w:tcPr>
          <w:p>
            <w:r>
              <w:t>Custom Qwen-3 adapter + hooks integration</w:t>
            </w:r>
          </w:p>
        </w:tc>
      </w:tr>
      <w:tr>
        <w:tc>
          <w:tcPr>
            <w:tcW w:type="dxa" w:w="4320"/>
          </w:tcPr>
          <w:p>
            <w:r>
              <w:rPr>
                <w:b/>
              </w:rPr>
              <w:t>Timeline</w:t>
            </w:r>
          </w:p>
        </w:tc>
        <w:tc>
          <w:tcPr>
            <w:tcW w:type="dxa" w:w="4320"/>
          </w:tcPr>
          <w:p>
            <w:r>
              <w:t>3 weeks (starting 2026-03-02)</w:t>
            </w:r>
          </w:p>
        </w:tc>
      </w:tr>
      <w:tr>
        <w:tc>
          <w:tcPr>
            <w:tcW w:type="dxa" w:w="4320"/>
          </w:tcPr>
          <w:p>
            <w:r>
              <w:rPr>
                <w:b/>
              </w:rPr>
              <w:t>Estimated effort</w:t>
            </w:r>
          </w:p>
        </w:tc>
        <w:tc>
          <w:tcPr>
            <w:tcW w:type="dxa" w:w="4320"/>
          </w:tcPr>
          <w:p>
            <w:r>
              <w:t>about 40 hours</w:t>
            </w:r>
          </w:p>
        </w:tc>
      </w:tr>
      <w:tr>
        <w:tc>
          <w:tcPr>
            <w:tcW w:type="dxa" w:w="4320"/>
          </w:tcPr>
          <w:p>
            <w:r>
              <w:rPr>
                <w:b/>
              </w:rPr>
              <w:t>Rate</w:t>
            </w:r>
          </w:p>
        </w:tc>
        <w:tc>
          <w:tcPr>
            <w:tcW w:type="dxa" w:w="4320"/>
          </w:tcPr>
          <w:p>
            <w:r>
              <w:t>$145 / hour (min billable 1 hour)</w:t>
            </w:r>
          </w:p>
        </w:tc>
      </w:tr>
      <w:tr>
        <w:tc>
          <w:tcPr>
            <w:tcW w:type="dxa" w:w="4320"/>
          </w:tcPr>
          <w:p>
            <w:r>
              <w:rPr>
                <w:b/>
              </w:rPr>
              <w:t>Fee (net)</w:t>
            </w:r>
          </w:p>
        </w:tc>
        <w:tc>
          <w:tcPr>
            <w:tcW w:type="dxa" w:w="4320"/>
          </w:tcPr>
          <w:p>
            <w:r>
              <w:t>$5,800.00</w:t>
            </w:r>
          </w:p>
        </w:tc>
      </w:tr>
      <w:tr>
        <w:tc>
          <w:tcPr>
            <w:tcW w:type="dxa" w:w="4320"/>
          </w:tcPr>
          <w:p>
            <w:r>
              <w:rPr>
                <w:b/>
              </w:rPr>
              <w:t>Umsatzsteuer (19%)</w:t>
            </w:r>
          </w:p>
        </w:tc>
        <w:tc>
          <w:tcPr>
            <w:tcW w:type="dxa" w:w="4320"/>
          </w:tcPr>
          <w:p>
            <w:r>
              <w:t>$1,102.00</w:t>
            </w:r>
          </w:p>
        </w:tc>
      </w:tr>
      <w:tr>
        <w:tc>
          <w:tcPr>
            <w:tcW w:type="dxa" w:w="4320"/>
          </w:tcPr>
          <w:p>
            <w:r>
              <w:rPr>
                <w:b/>
              </w:rPr>
              <w:t>Total</w:t>
            </w:r>
          </w:p>
        </w:tc>
        <w:tc>
          <w:tcPr>
            <w:tcW w:type="dxa" w:w="4320"/>
          </w:tcPr>
          <w:p>
            <w:r>
              <w:t>$6,902.00</w:t>
            </w:r>
          </w:p>
        </w:tc>
      </w:tr>
      <w:tr>
        <w:tc>
          <w:tcPr>
            <w:tcW w:type="dxa" w:w="4320"/>
          </w:tcPr>
          <w:p>
            <w:r>
              <w:rPr>
                <w:b/>
              </w:rPr>
              <w:t>Invoicing</w:t>
            </w:r>
          </w:p>
        </w:tc>
        <w:tc>
          <w:tcPr>
            <w:tcW w:type="dxa" w:w="4320"/>
          </w:tcPr>
          <w:p>
            <w:r>
              <w:t>Net 15 via HelloBonsai, with Umsatzsteuer (invoice HB-2026-027)</w:t>
            </w:r>
          </w:p>
        </w:tc>
      </w:tr>
      <w:tr>
        <w:tc>
          <w:tcPr>
            <w:tcW w:type="dxa" w:w="4320"/>
          </w:tcPr>
          <w:p>
            <w:r>
              <w:rPr>
                <w:b/>
              </w:rPr>
              <w:t>Payment</w:t>
            </w:r>
          </w:p>
        </w:tc>
        <w:tc>
          <w:tcPr>
            <w:tcW w:type="dxa" w:w="4320"/>
          </w:tcPr>
          <w:p>
            <w:r>
              <w:t>Wise, to the German account</w:t>
            </w:r>
          </w:p>
        </w:tc>
      </w:tr>
    </w:tbl>
    <w:p>
      <w:pPr>
        <w:pStyle w:val="Heading1"/>
      </w:pPr>
      <w:r>
        <w:rPr>
          <w:color w:val="1C2842"/>
        </w:rPr>
        <w:t>1. Scope of work</w:t>
      </w:r>
    </w:p>
    <w:p>
      <w:r>
        <w:t>Deliver a Qwen-3 weight-conversion adapter for HookedTransformer and integrate it with the client's hook-based analysis workflow. The adapter code is public and lands upstream as a normal TransformerLens pull request; its public description states only what the code does. The client's research motivation is confidential and does not appear in the public PR, the release notes, the commit messages, or any other public artifact (T1).</w:t>
      </w:r>
    </w:p>
    <w:p>
      <w:pPr>
        <w:pStyle w:val="Heading1"/>
      </w:pPr>
      <w:r>
        <w:rPr>
          <w:color w:val="1C2842"/>
        </w:rPr>
        <w:t>2. Deliverables</w:t>
      </w:r>
    </w:p>
    <w:p>
      <w:pPr>
        <w:pStyle w:val="ListBullet"/>
      </w:pPr>
      <w:r>
        <w:t>Qwen-3 weight-conversion table in transformer_lens/loading_from_pretrained.py (QK-norm handled).</w:t>
      </w:r>
    </w:p>
    <w:p>
      <w:pPr>
        <w:pStyle w:val="ListBullet"/>
      </w:pPr>
      <w:r>
        <w:t>A weight-conversion acceptance test: float32 logits match the HF reference to 1e-4 absolute on the smallest public Qwen-3 checkpoint.</w:t>
      </w:r>
    </w:p>
    <w:p>
      <w:pPr>
        <w:pStyle w:val="ListBullet"/>
      </w:pPr>
      <w:r>
        <w:t>Docs update for the supported-models list.</w:t>
      </w:r>
    </w:p>
    <w:p>
      <w:pPr>
        <w:pStyle w:val="ListBullet"/>
      </w:pPr>
      <w:r>
        <w:t>Public PR opened, reviewed, and merged with green CI; the adapter ships in the next monthly release (v2.13.0).</w:t>
      </w:r>
    </w:p>
    <w:p>
      <w:pPr>
        <w:pStyle w:val="ListBullet"/>
      </w:pPr>
      <w:r>
        <w:t>Guidance for wiring the client's hook-based workflow to the new adapter (delivered privately).</w:t>
      </w:r>
    </w:p>
    <w:p>
      <w:pPr>
        <w:pStyle w:val="Heading1"/>
      </w:pPr>
      <w:r>
        <w:rPr>
          <w:color w:val="1C2842"/>
        </w:rPr>
        <w:t>3. Out of scope</w:t>
      </w:r>
    </w:p>
    <w:p>
      <w:pPr>
        <w:pStyle w:val="ListBullet"/>
      </w:pPr>
      <w:r>
        <w:t>No closed-weights or private-fork variant; any adapter lands upstream as a public PR (T4).</w:t>
      </w:r>
    </w:p>
    <w:p>
      <w:pPr>
        <w:pStyle w:val="ListBullet"/>
      </w:pPr>
      <w:r>
        <w:t>Vision/multimodal towers; text decoder stack only where applicable.</w:t>
      </w:r>
    </w:p>
    <w:p>
      <w:pPr>
        <w:pStyle w:val="ListBullet"/>
      </w:pPr>
      <w:r>
        <w:t>Training-loop / RLHF features (out of TransformerLens scope; see TRL).</w:t>
      </w:r>
    </w:p>
    <w:p>
      <w:pPr>
        <w:pStyle w:val="Heading1"/>
      </w:pPr>
      <w:r>
        <w:rPr>
          <w:color w:val="1C2842"/>
        </w:rPr>
        <w:t>4. Confidentiality</w:t>
      </w:r>
    </w:p>
    <w:p>
      <w:r>
        <w:t>The client's research plans are confidential and Bram-only. They are not pasted into any AI tool (including Claude Max), not forwarded outside the private client thread, and not referenced in any public artifact. This statement of work and the associated invoice are consulting records with no access for the other maintainers or the funder.</w:t>
      </w:r>
    </w:p>
    <w:p>
      <w:pPr>
        <w:pStyle w:val="Heading1"/>
      </w:pPr>
      <w:r>
        <w:rPr>
          <w:color w:val="1C2842"/>
        </w:rPr>
        <w:t>5. Terms</w:t>
      </w:r>
    </w:p>
    <w:p>
      <w:r>
        <w:t>Net 15 from invoice date via HelloBonsai with 19 percent Umsatzsteuer. Paid via Wise. Invoiced 2026-03-23; payment received 2026-04-07.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