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4141"/>
          <w:sz w:val="22"/>
        </w:rPr>
        <w:t>CONFIDENTIAL - Apollo Research - Bram-only consulting record</w:t>
      </w:r>
    </w:p>
    <w:p>
      <w:pPr>
        <w:pStyle w:val="Title"/>
      </w:pPr>
      <w:r>
        <w:rPr>
          <w:color w:val="1C2842"/>
        </w:rPr>
        <w:t>Statement of Work - Apollo Research Retainer</w:t>
      </w:r>
    </w:p>
    <w:p>
      <w:r>
        <w:rPr>
          <w:i/>
          <w:color w:val="606874"/>
        </w:rPr>
        <w:t>Retainer-shaped consulting: adapter first-look and priority triage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4320"/>
          </w:tcPr>
          <w:p>
            <w:r>
              <w:t>Bram Chen-Nakagawa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Apollo Research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contact</w:t>
            </w:r>
          </w:p>
        </w:tc>
        <w:tc>
          <w:tcPr>
            <w:tcW w:type="dxa" w:w="4320"/>
          </w:tcPr>
          <w:p>
            <w:r>
              <w:t>Amara Kilmartin-Ranganathan (amara.kilmartin@apolloresearch.ai)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4320"/>
          </w:tcPr>
          <w:p>
            <w:r>
              <w:t>Retainer, about 4 to 6 hours per week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4320"/>
          </w:tcPr>
          <w:p>
            <w:r>
              <w:t>$145 / hour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Invoicing</w:t>
            </w:r>
          </w:p>
        </w:tc>
        <w:tc>
          <w:tcPr>
            <w:tcW w:type="dxa" w:w="4320"/>
          </w:tcPr>
          <w:p>
            <w:r>
              <w:t>Monthly, Net 15 via HelloBonsai, with Umsatzsteuer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</w:t>
            </w:r>
          </w:p>
        </w:tc>
        <w:tc>
          <w:tcPr>
            <w:tcW w:type="dxa" w:w="4320"/>
          </w:tcPr>
          <w:p>
            <w:r>
              <w:t>Wise</w:t>
            </w:r>
          </w:p>
        </w:tc>
      </w:tr>
    </w:tbl>
    <w:p>
      <w:pPr>
        <w:pStyle w:val="Heading1"/>
      </w:pPr>
      <w:r>
        <w:rPr>
          <w:color w:val="1C2842"/>
        </w:rPr>
        <w:t>1. Services</w:t>
      </w:r>
    </w:p>
    <w:p>
      <w:pPr>
        <w:pStyle w:val="ListBullet"/>
      </w:pPr>
      <w:r>
        <w:t>First-look review on the client's model-adapter requests (as normal upstream PRs).</w:t>
      </w:r>
    </w:p>
    <w:p>
      <w:pPr>
        <w:pStyle w:val="ListBullet"/>
      </w:pPr>
      <w:r>
        <w:t>Priority triage on issues that block the client's research.</w:t>
      </w:r>
    </w:p>
    <w:p>
      <w:pPr>
        <w:pStyle w:val="ListBullet"/>
      </w:pPr>
      <w:r>
        <w:t>Ad-hoc adapter and hook-integration guidance (delivered privately).</w:t>
      </w:r>
    </w:p>
    <w:p>
      <w:pPr>
        <w:pStyle w:val="Heading1"/>
      </w:pPr>
      <w:r>
        <w:rPr>
          <w:color w:val="1C2842"/>
        </w:rPr>
        <w:t>2. Boundaries</w:t>
      </w:r>
    </w:p>
    <w:p>
      <w:pPr>
        <w:pStyle w:val="ListBullet"/>
      </w:pPr>
      <w:r>
        <w:t>Any adapter lands upstream as a public PR; no private forks, no closed-weights work (T4).</w:t>
      </w:r>
    </w:p>
    <w:p>
      <w:pPr>
        <w:pStyle w:val="ListBullet"/>
      </w:pPr>
      <w:r>
        <w:t>The client's research motivation never appears in a public artifact (T1).</w:t>
      </w:r>
    </w:p>
    <w:p>
      <w:pPr>
        <w:pStyle w:val="ListBullet"/>
      </w:pPr>
      <w:r>
        <w:t>Retainer hours are DROPPED in any week the maintainer PR-review queue is backed up past 72h with more than 15 PRs awaiting review; client is routed to the next week (this happened in the May ICML surge).</w:t>
      </w:r>
    </w:p>
    <w:p>
      <w:pPr>
        <w:pStyle w:val="Heading1"/>
      </w:pPr>
      <w:r>
        <w:rPr>
          <w:color w:val="1C2842"/>
        </w:rPr>
        <w:t>3. Billing</w:t>
      </w:r>
    </w:p>
    <w:p>
      <w:r>
        <w:t>Monthly invoices reflect actual hours at $145/hour with 19 percent Umsatzsteuer, Net 15 via HelloBonsai, paid via Wise. In-window invoices: HB-2026-011 (Jan), HB-2026-018 (Feb), HB-2026-027 (Mar, the Qwen-3 project), HB-2026-039 (May, reduced), HB-2026-046 (Jun, reduced).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